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Times New Roman" w:asciiTheme="majorEastAsia" w:hAnsiTheme="majorEastAsia" w:eastAsiaTheme="majorEastAsia"/>
          <w:b/>
          <w:color w:val="333333"/>
          <w:kern w:val="0"/>
          <w:sz w:val="44"/>
          <w:szCs w:val="44"/>
        </w:rPr>
      </w:pPr>
      <w:bookmarkStart w:id="0" w:name="_GoBack"/>
      <w:r>
        <w:rPr>
          <w:rFonts w:hint="eastAsia" w:cs="Times New Roman" w:asciiTheme="majorEastAsia" w:hAnsiTheme="majorEastAsia" w:eastAsiaTheme="majorEastAsia"/>
          <w:b/>
          <w:color w:val="333333"/>
          <w:kern w:val="0"/>
          <w:sz w:val="44"/>
          <w:szCs w:val="44"/>
        </w:rPr>
        <w:t>2022年长春市</w:t>
      </w:r>
      <w:r>
        <w:rPr>
          <w:rFonts w:hint="eastAsia" w:cs="Times New Roman" w:asciiTheme="majorEastAsia" w:hAnsiTheme="majorEastAsia" w:eastAsiaTheme="majorEastAsia"/>
          <w:b/>
          <w:color w:val="333333"/>
          <w:kern w:val="0"/>
          <w:sz w:val="44"/>
          <w:szCs w:val="44"/>
          <w:lang w:eastAsia="zh-CN"/>
        </w:rPr>
        <w:t>宽城区事业</w:t>
      </w:r>
      <w:r>
        <w:rPr>
          <w:rFonts w:hint="eastAsia" w:cs="Times New Roman" w:asciiTheme="majorEastAsia" w:hAnsiTheme="majorEastAsia" w:eastAsiaTheme="majorEastAsia"/>
          <w:b/>
          <w:color w:val="333333"/>
          <w:kern w:val="0"/>
          <w:sz w:val="44"/>
          <w:szCs w:val="44"/>
        </w:rPr>
        <w:t>单位公开招聘工作人员（含专项招聘高校毕业生）面试考生</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告知暨承诺书</w:t>
      </w:r>
    </w:p>
    <w:bookmarkEnd w:id="0"/>
    <w:p>
      <w:pPr>
        <w:spacing w:line="500" w:lineRule="exact"/>
        <w:jc w:val="center"/>
        <w:rPr>
          <w:rFonts w:cs="Times New Roman" w:asciiTheme="majorEastAsia" w:hAnsiTheme="majorEastAsia" w:eastAsiaTheme="majorEastAsia"/>
          <w:b/>
          <w:color w:val="333333"/>
          <w:kern w:val="0"/>
          <w:sz w:val="44"/>
          <w:szCs w:val="44"/>
        </w:rPr>
      </w:pPr>
    </w:p>
    <w:p>
      <w:pPr>
        <w:spacing w:line="400" w:lineRule="exact"/>
        <w:ind w:firstLine="544" w:firstLineChars="200"/>
        <w:rPr>
          <w:rFonts w:ascii="仿宋" w:hAnsi="仿宋" w:eastAsia="仿宋" w:cs="仿宋"/>
          <w:b/>
          <w:bCs/>
          <w:color w:val="333333"/>
          <w:kern w:val="0"/>
          <w:sz w:val="44"/>
          <w:szCs w:val="44"/>
        </w:rPr>
      </w:pPr>
      <w:r>
        <w:rPr>
          <w:rFonts w:hint="eastAsia" w:ascii="仿宋" w:hAnsi="仿宋" w:eastAsia="仿宋" w:cs="仿宋"/>
          <w:spacing w:val="-4"/>
          <w:sz w:val="28"/>
          <w:szCs w:val="28"/>
        </w:rPr>
        <w:t>1.考生应严格按照招聘单位或主管部门通知的时间按时到达考点封闭入闱。</w:t>
      </w:r>
      <w:r>
        <w:rPr>
          <w:rFonts w:hint="eastAsia" w:ascii="仿宋" w:hAnsi="仿宋" w:eastAsia="仿宋" w:cs="仿宋"/>
          <w:b/>
          <w:bCs/>
          <w:spacing w:val="-4"/>
          <w:sz w:val="28"/>
          <w:szCs w:val="28"/>
        </w:rPr>
        <w:t>面试当天6:00准时入场，7:00入场完毕，未在7:00前入场的考生，视为自动放弃面试资格。</w:t>
      </w:r>
    </w:p>
    <w:p>
      <w:pPr>
        <w:adjustRightInd w:val="0"/>
        <w:snapToGrid w:val="0"/>
        <w:spacing w:line="4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2.面试当天需携带的相关材料：①本人有效身份证原件（或有效临时身份证原件）；②本人面试前48小时内（以采样时间为准）长春地区有资质检测机构出具的新冠病毒核酸检测阴性证明﹝如：11月28日面试，须持11月26日（含）以后长春地区检测机构</w:t>
      </w:r>
      <w:r>
        <w:rPr>
          <w:rFonts w:hint="eastAsia" w:ascii="仿宋" w:hAnsi="仿宋" w:eastAsia="仿宋" w:cs="仿宋"/>
          <w:kern w:val="0"/>
          <w:sz w:val="28"/>
          <w:szCs w:val="28"/>
        </w:rPr>
        <w:t>出具的</w:t>
      </w:r>
      <w:r>
        <w:rPr>
          <w:rFonts w:hint="eastAsia" w:ascii="仿宋" w:hAnsi="仿宋" w:eastAsia="仿宋" w:cs="仿宋"/>
          <w:spacing w:val="-4"/>
          <w:sz w:val="28"/>
          <w:szCs w:val="28"/>
        </w:rPr>
        <w:t>检测证明﹞；③《2022年长春市</w:t>
      </w:r>
      <w:r>
        <w:rPr>
          <w:rFonts w:hint="eastAsia" w:ascii="仿宋" w:hAnsi="仿宋" w:eastAsia="仿宋" w:cs="仿宋"/>
          <w:spacing w:val="-4"/>
          <w:sz w:val="28"/>
          <w:szCs w:val="28"/>
          <w:lang w:eastAsia="zh-CN"/>
        </w:rPr>
        <w:t>宽城区事业</w:t>
      </w:r>
      <w:r>
        <w:rPr>
          <w:rFonts w:hint="eastAsia" w:ascii="仿宋" w:hAnsi="仿宋" w:eastAsia="仿宋" w:cs="仿宋"/>
          <w:spacing w:val="-4"/>
          <w:sz w:val="28"/>
          <w:szCs w:val="28"/>
        </w:rPr>
        <w:t>单位公开招聘工作人员（含专项招聘高校毕业生）面试考生告知暨承诺书》</w:t>
      </w:r>
      <w:r>
        <w:rPr>
          <w:rFonts w:hint="eastAsia" w:ascii="仿宋" w:hAnsi="仿宋" w:eastAsia="仿宋" w:cs="仿宋"/>
          <w:sz w:val="28"/>
          <w:szCs w:val="28"/>
        </w:rPr>
        <w:t>；</w:t>
      </w:r>
      <w:r>
        <w:rPr>
          <w:rFonts w:hint="eastAsia" w:ascii="仿宋" w:hAnsi="仿宋" w:eastAsia="仿宋" w:cs="仿宋"/>
          <w:spacing w:val="-4"/>
          <w:sz w:val="28"/>
          <w:szCs w:val="28"/>
        </w:rPr>
        <w:t>④《2022年长春市</w:t>
      </w:r>
      <w:r>
        <w:rPr>
          <w:rFonts w:hint="eastAsia" w:ascii="仿宋" w:hAnsi="仿宋" w:eastAsia="仿宋" w:cs="仿宋"/>
          <w:spacing w:val="-4"/>
          <w:sz w:val="28"/>
          <w:szCs w:val="28"/>
          <w:lang w:eastAsia="zh-CN"/>
        </w:rPr>
        <w:t>宽城区事业</w:t>
      </w:r>
      <w:r>
        <w:rPr>
          <w:rFonts w:hint="eastAsia" w:ascii="仿宋" w:hAnsi="仿宋" w:eastAsia="仿宋" w:cs="仿宋"/>
          <w:spacing w:val="-4"/>
          <w:sz w:val="28"/>
          <w:szCs w:val="28"/>
        </w:rPr>
        <w:t>单位公开招聘工作人员（含专项招聘高校毕业生）面试考生健康管理信息承诺书》</w:t>
      </w:r>
      <w:r>
        <w:rPr>
          <w:rFonts w:hint="eastAsia" w:ascii="仿宋" w:hAnsi="仿宋" w:eastAsia="仿宋" w:cs="仿宋"/>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各位考生请提前向长春市各级疾控中心（详细咨询电话可通过“长春疾控”公众号查询）了解长春市疫情防控相关政策和具体要求，合理安排行程。特别是外省和省内跨市参加考试的考生，要了解和遵守长春市对外来人员疫情防控要求，避免因旅居史、接触史等情况无法参加考试。须进行隔离观察的，要提前到达长春市按要求报备并隔离观察，并于面试当天出示解除隔离证明。面试入场前不能出示解除隔离证明的，不能参加面试。正处在隔离观察期的考生，不能参加面试，不予补考。</w:t>
      </w:r>
    </w:p>
    <w:p>
      <w:pPr>
        <w:spacing w:line="400" w:lineRule="exact"/>
        <w:ind w:firstLine="544" w:firstLineChars="200"/>
        <w:rPr>
          <w:rFonts w:ascii="黑体" w:hAnsi="黑体" w:eastAsia="黑体"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pacing w:val="-4"/>
          <w:sz w:val="28"/>
          <w:szCs w:val="28"/>
        </w:rPr>
        <w:t>4.所有考生核酸检测费用自理</w:t>
      </w:r>
      <w:r>
        <w:rPr>
          <w:rFonts w:hint="eastAsia" w:ascii="黑体" w:hAnsi="黑体" w:eastAsia="黑体" w:cs="仿宋_GB2312"/>
          <w:color w:val="000000"/>
          <w:spacing w:val="-4"/>
          <w:sz w:val="28"/>
          <w:szCs w:val="28"/>
        </w:rPr>
        <w:t>。</w:t>
      </w:r>
      <w:r>
        <w:rPr>
          <w:rFonts w:ascii="黑体" w:hAnsi="黑体" w:eastAsia="黑体" w:cs="Times New Roman"/>
          <w:sz w:val="28"/>
          <w:szCs w:val="28"/>
        </w:rPr>
        <w:t>面试当</w:t>
      </w:r>
      <w:r>
        <w:rPr>
          <w:rFonts w:hint="eastAsia" w:ascii="黑体" w:hAnsi="黑体" w:eastAsia="黑体" w:cs="Times New Roman"/>
          <w:sz w:val="28"/>
          <w:szCs w:val="28"/>
        </w:rPr>
        <w:t>日入场前</w:t>
      </w:r>
      <w:r>
        <w:rPr>
          <w:rFonts w:ascii="黑体" w:hAnsi="黑体" w:eastAsia="黑体" w:cs="Times New Roman"/>
          <w:sz w:val="28"/>
          <w:szCs w:val="28"/>
        </w:rPr>
        <w:t>，考生不能出具</w:t>
      </w:r>
      <w:r>
        <w:rPr>
          <w:rFonts w:hint="eastAsia" w:ascii="黑体" w:hAnsi="黑体" w:eastAsia="黑体" w:cs="Times New Roman"/>
          <w:sz w:val="28"/>
          <w:szCs w:val="28"/>
          <w:u w:val="single"/>
        </w:rPr>
        <w:t>48小时</w:t>
      </w:r>
      <w:r>
        <w:rPr>
          <w:rFonts w:ascii="黑体" w:hAnsi="黑体" w:eastAsia="黑体" w:cs="Times New Roman"/>
          <w:sz w:val="28"/>
          <w:szCs w:val="28"/>
          <w:u w:val="single"/>
        </w:rPr>
        <w:t>内</w:t>
      </w:r>
      <w:r>
        <w:rPr>
          <w:rFonts w:hint="eastAsia" w:ascii="黑体" w:hAnsi="黑体" w:eastAsia="黑体" w:cs="Times New Roman"/>
          <w:sz w:val="28"/>
          <w:szCs w:val="28"/>
          <w:u w:val="single"/>
        </w:rPr>
        <w:t>（以采样时间为准）</w:t>
      </w:r>
      <w:r>
        <w:rPr>
          <w:rFonts w:ascii="黑体" w:hAnsi="黑体" w:eastAsia="黑体" w:cs="Times New Roman"/>
          <w:sz w:val="28"/>
          <w:szCs w:val="28"/>
          <w:u w:val="single"/>
        </w:rPr>
        <w:t>本人</w:t>
      </w:r>
      <w:r>
        <w:rPr>
          <w:rFonts w:hint="eastAsia" w:ascii="黑体" w:hAnsi="黑体" w:eastAsia="黑体" w:cs="Times New Roman"/>
          <w:sz w:val="28"/>
          <w:szCs w:val="28"/>
          <w:u w:val="single"/>
        </w:rPr>
        <w:t>在</w:t>
      </w:r>
      <w:r>
        <w:rPr>
          <w:rFonts w:ascii="黑体" w:hAnsi="黑体" w:eastAsia="黑体" w:cs="Times New Roman"/>
          <w:sz w:val="28"/>
          <w:szCs w:val="28"/>
          <w:u w:val="single"/>
        </w:rPr>
        <w:t>长春</w:t>
      </w:r>
      <w:r>
        <w:rPr>
          <w:rFonts w:hint="eastAsia" w:ascii="黑体" w:hAnsi="黑体" w:eastAsia="黑体" w:cs="Times New Roman"/>
          <w:sz w:val="28"/>
          <w:szCs w:val="28"/>
          <w:u w:val="single"/>
        </w:rPr>
        <w:t>地区有资质</w:t>
      </w:r>
      <w:r>
        <w:rPr>
          <w:rFonts w:ascii="黑体" w:hAnsi="黑体" w:eastAsia="黑体" w:cs="Times New Roman"/>
          <w:sz w:val="28"/>
          <w:szCs w:val="28"/>
          <w:u w:val="single"/>
        </w:rPr>
        <w:t>检测机构</w:t>
      </w:r>
      <w:r>
        <w:rPr>
          <w:rFonts w:hint="eastAsia" w:ascii="黑体" w:hAnsi="黑体" w:eastAsia="黑体" w:cs="Times New Roman"/>
          <w:sz w:val="28"/>
          <w:szCs w:val="28"/>
          <w:u w:val="single"/>
        </w:rPr>
        <w:t>核酸</w:t>
      </w:r>
      <w:r>
        <w:rPr>
          <w:rFonts w:ascii="黑体" w:hAnsi="黑体" w:eastAsia="黑体" w:cs="Times New Roman"/>
          <w:sz w:val="28"/>
          <w:szCs w:val="28"/>
          <w:u w:val="single"/>
        </w:rPr>
        <w:t>检测阴性证明的</w:t>
      </w:r>
      <w:r>
        <w:rPr>
          <w:rFonts w:ascii="黑体" w:hAnsi="黑体" w:eastAsia="黑体" w:cs="Times New Roman"/>
          <w:sz w:val="28"/>
          <w:szCs w:val="28"/>
        </w:rPr>
        <w:t>，不能参加面试，不予补考。</w:t>
      </w:r>
    </w:p>
    <w:p>
      <w:pPr>
        <w:spacing w:line="40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5.面试当天，面试考生需出示“吉祥码” “通信大数据行程卡”，进行两次测温后进入考场。“吉祥码”或“通信大数据行程卡”非绿码（卡）、体温异常或有咳嗽等呼吸道症状的面试考生，经专业评估后视情况到隔离考场参加面试，并须当场进行新冠病毒核酸检测采样、送检。在检测结果未明确前，面试考生在隔离候分室等候，不得离开。</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6</w:t>
      </w:r>
      <w:r>
        <w:rPr>
          <w:rFonts w:ascii="仿宋_GB2312" w:hAnsi="仿宋_GB2312" w:eastAsia="仿宋_GB2312" w:cs="仿宋_GB2312"/>
          <w:color w:val="000000"/>
          <w:spacing w:val="-4"/>
          <w:sz w:val="28"/>
          <w:szCs w:val="28"/>
        </w:rPr>
        <w:t>.面试期间，面试考生应履行规定义务，遵守面试纪律要求，服从工作人员管理，自觉做到“六不准”：</w:t>
      </w:r>
      <w:r>
        <w:rPr>
          <w:rFonts w:hint="eastAsia" w:ascii="仿宋_GB2312" w:hAnsi="仿宋_GB2312" w:eastAsia="仿宋_GB2312" w:cs="仿宋_GB2312"/>
          <w:color w:val="000000"/>
          <w:spacing w:val="-4"/>
          <w:sz w:val="28"/>
          <w:szCs w:val="28"/>
        </w:rPr>
        <w:t>①</w:t>
      </w:r>
      <w:r>
        <w:rPr>
          <w:rFonts w:ascii="仿宋_GB2312" w:hAnsi="仿宋_GB2312" w:eastAsia="仿宋_GB2312" w:cs="仿宋_GB2312"/>
          <w:color w:val="000000"/>
          <w:spacing w:val="-4"/>
          <w:sz w:val="28"/>
          <w:szCs w:val="28"/>
        </w:rPr>
        <w:t>不准面试时讲出自己的姓名及有可能影响面试结果公平公正的其他信息</w:t>
      </w:r>
      <w:r>
        <w:rPr>
          <w:rFonts w:hint="eastAsia" w:ascii="仿宋_GB2312" w:hAnsi="仿宋_GB2312" w:eastAsia="仿宋_GB2312" w:cs="仿宋_GB2312"/>
          <w:color w:val="000000"/>
          <w:spacing w:val="-4"/>
          <w:sz w:val="28"/>
          <w:szCs w:val="28"/>
        </w:rPr>
        <w:t>；②</w:t>
      </w:r>
      <w:r>
        <w:rPr>
          <w:rFonts w:ascii="仿宋_GB2312" w:hAnsi="仿宋_GB2312" w:eastAsia="仿宋_GB2312" w:cs="仿宋_GB2312"/>
          <w:color w:val="000000"/>
          <w:spacing w:val="-4"/>
          <w:sz w:val="28"/>
          <w:szCs w:val="28"/>
        </w:rPr>
        <w:t>不准着行业制服或明显</w:t>
      </w:r>
      <w:r>
        <w:rPr>
          <w:rFonts w:hint="eastAsia" w:ascii="仿宋_GB2312" w:hAnsi="仿宋_GB2312" w:eastAsia="仿宋_GB2312" w:cs="仿宋_GB2312"/>
          <w:color w:val="000000"/>
          <w:spacing w:val="-4"/>
          <w:sz w:val="28"/>
          <w:szCs w:val="28"/>
        </w:rPr>
        <w:t>标识</w:t>
      </w:r>
      <w:r>
        <w:rPr>
          <w:rFonts w:ascii="仿宋_GB2312" w:hAnsi="仿宋_GB2312" w:eastAsia="仿宋_GB2312" w:cs="仿宋_GB2312"/>
          <w:color w:val="000000"/>
          <w:spacing w:val="-4"/>
          <w:sz w:val="28"/>
          <w:szCs w:val="28"/>
        </w:rPr>
        <w:t>服装进入面试主考室</w:t>
      </w:r>
      <w:r>
        <w:rPr>
          <w:rFonts w:hint="eastAsia" w:ascii="仿宋_GB2312" w:hAnsi="仿宋_GB2312" w:eastAsia="仿宋_GB2312" w:cs="仿宋_GB2312"/>
          <w:color w:val="000000"/>
          <w:spacing w:val="-4"/>
          <w:sz w:val="28"/>
          <w:szCs w:val="28"/>
        </w:rPr>
        <w:t>；③</w:t>
      </w:r>
      <w:r>
        <w:rPr>
          <w:rFonts w:ascii="仿宋_GB2312" w:hAnsi="仿宋_GB2312" w:eastAsia="仿宋_GB2312" w:cs="仿宋_GB2312"/>
          <w:color w:val="000000"/>
          <w:spacing w:val="-4"/>
          <w:sz w:val="28"/>
          <w:szCs w:val="28"/>
        </w:rPr>
        <w:t>不准在面试封闭管理期间</w:t>
      </w:r>
      <w:r>
        <w:rPr>
          <w:rFonts w:hint="eastAsia" w:ascii="仿宋_GB2312" w:hAnsi="仿宋_GB2312" w:eastAsia="仿宋_GB2312" w:cs="仿宋_GB2312"/>
          <w:color w:val="000000"/>
          <w:spacing w:val="-4"/>
          <w:sz w:val="28"/>
          <w:szCs w:val="28"/>
        </w:rPr>
        <w:t>使用</w:t>
      </w:r>
      <w:r>
        <w:rPr>
          <w:rFonts w:ascii="仿宋_GB2312" w:hAnsi="仿宋_GB2312" w:eastAsia="仿宋_GB2312" w:cs="仿宋_GB2312"/>
          <w:color w:val="000000"/>
          <w:spacing w:val="-4"/>
          <w:sz w:val="28"/>
          <w:szCs w:val="28"/>
        </w:rPr>
        <w:t>手机</w:t>
      </w:r>
      <w:r>
        <w:rPr>
          <w:rFonts w:hint="eastAsia" w:ascii="仿宋_GB2312" w:hAnsi="仿宋_GB2312" w:eastAsia="仿宋_GB2312" w:cs="仿宋_GB2312"/>
          <w:color w:val="000000"/>
          <w:spacing w:val="-4"/>
          <w:sz w:val="28"/>
          <w:szCs w:val="28"/>
        </w:rPr>
        <w:t>、电子腕表、i</w:t>
      </w:r>
      <w:r>
        <w:rPr>
          <w:rFonts w:ascii="仿宋_GB2312" w:hAnsi="仿宋_GB2312" w:eastAsia="仿宋_GB2312" w:cs="仿宋_GB2312"/>
          <w:color w:val="000000"/>
          <w:spacing w:val="-4"/>
          <w:sz w:val="28"/>
          <w:szCs w:val="28"/>
        </w:rPr>
        <w:t>P</w:t>
      </w:r>
      <w:r>
        <w:rPr>
          <w:rFonts w:hint="eastAsia" w:ascii="仿宋_GB2312" w:hAnsi="仿宋_GB2312" w:eastAsia="仿宋_GB2312" w:cs="仿宋_GB2312"/>
          <w:color w:val="000000"/>
          <w:spacing w:val="-4"/>
          <w:sz w:val="28"/>
          <w:szCs w:val="28"/>
        </w:rPr>
        <w:t>ad</w:t>
      </w:r>
      <w:r>
        <w:rPr>
          <w:rFonts w:ascii="仿宋_GB2312" w:hAnsi="仿宋_GB2312" w:eastAsia="仿宋_GB2312" w:cs="仿宋_GB2312"/>
          <w:color w:val="000000"/>
          <w:spacing w:val="-4"/>
          <w:sz w:val="28"/>
          <w:szCs w:val="28"/>
        </w:rPr>
        <w:t>等</w:t>
      </w:r>
      <w:r>
        <w:rPr>
          <w:rFonts w:hint="eastAsia" w:ascii="仿宋_GB2312" w:hAnsi="仿宋_GB2312" w:eastAsia="仿宋_GB2312" w:cs="仿宋_GB2312"/>
          <w:color w:val="000000"/>
          <w:spacing w:val="-4"/>
          <w:sz w:val="28"/>
          <w:szCs w:val="28"/>
        </w:rPr>
        <w:t>具有</w:t>
      </w:r>
      <w:r>
        <w:rPr>
          <w:rFonts w:ascii="仿宋_GB2312" w:hAnsi="仿宋_GB2312" w:eastAsia="仿宋_GB2312" w:cs="仿宋_GB2312"/>
          <w:color w:val="000000"/>
          <w:spacing w:val="-4"/>
          <w:sz w:val="28"/>
          <w:szCs w:val="28"/>
        </w:rPr>
        <w:t>通讯</w:t>
      </w:r>
      <w:r>
        <w:rPr>
          <w:rFonts w:hint="eastAsia" w:ascii="仿宋_GB2312" w:hAnsi="仿宋_GB2312" w:eastAsia="仿宋_GB2312" w:cs="仿宋_GB2312"/>
          <w:color w:val="000000"/>
          <w:spacing w:val="-4"/>
          <w:sz w:val="28"/>
          <w:szCs w:val="28"/>
        </w:rPr>
        <w:t>功能的设备</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带入</w:t>
      </w:r>
      <w:r>
        <w:rPr>
          <w:rFonts w:ascii="仿宋_GB2312" w:hAnsi="仿宋_GB2312" w:eastAsia="仿宋_GB2312" w:cs="仿宋_GB2312"/>
          <w:color w:val="000000"/>
          <w:spacing w:val="-4"/>
          <w:sz w:val="28"/>
          <w:szCs w:val="28"/>
        </w:rPr>
        <w:t>封闭场所的须</w:t>
      </w:r>
      <w:r>
        <w:rPr>
          <w:rFonts w:hint="eastAsia" w:ascii="仿宋_GB2312" w:hAnsi="仿宋_GB2312" w:eastAsia="仿宋_GB2312" w:cs="仿宋_GB2312"/>
          <w:color w:val="000000"/>
          <w:spacing w:val="-4"/>
          <w:sz w:val="28"/>
          <w:szCs w:val="28"/>
        </w:rPr>
        <w:t>关闭</w:t>
      </w:r>
      <w:r>
        <w:rPr>
          <w:rFonts w:ascii="仿宋_GB2312" w:hAnsi="仿宋_GB2312" w:eastAsia="仿宋_GB2312" w:cs="仿宋_GB2312"/>
          <w:color w:val="000000"/>
          <w:spacing w:val="-4"/>
          <w:sz w:val="28"/>
          <w:szCs w:val="28"/>
        </w:rPr>
        <w:t>闹钟</w:t>
      </w:r>
      <w:r>
        <w:rPr>
          <w:rFonts w:hint="eastAsia" w:ascii="仿宋_GB2312" w:hAnsi="仿宋_GB2312" w:eastAsia="仿宋_GB2312" w:cs="仿宋_GB2312"/>
          <w:color w:val="000000"/>
          <w:spacing w:val="-4"/>
          <w:sz w:val="28"/>
          <w:szCs w:val="28"/>
        </w:rPr>
        <w:t>、</w:t>
      </w:r>
      <w:r>
        <w:rPr>
          <w:rFonts w:ascii="仿宋_GB2312" w:hAnsi="仿宋_GB2312" w:eastAsia="仿宋_GB2312" w:cs="仿宋_GB2312"/>
          <w:color w:val="000000"/>
          <w:spacing w:val="-4"/>
          <w:sz w:val="28"/>
          <w:szCs w:val="28"/>
        </w:rPr>
        <w:t>关机</w:t>
      </w:r>
      <w:r>
        <w:rPr>
          <w:rFonts w:hint="eastAsia" w:ascii="仿宋_GB2312" w:hAnsi="仿宋_GB2312" w:eastAsia="仿宋_GB2312" w:cs="仿宋_GB2312"/>
          <w:color w:val="000000"/>
          <w:spacing w:val="-4"/>
          <w:sz w:val="28"/>
          <w:szCs w:val="28"/>
        </w:rPr>
        <w:t>并</w:t>
      </w:r>
      <w:r>
        <w:rPr>
          <w:rFonts w:ascii="仿宋_GB2312" w:hAnsi="仿宋_GB2312" w:eastAsia="仿宋_GB2312" w:cs="仿宋_GB2312"/>
          <w:color w:val="000000"/>
          <w:spacing w:val="-4"/>
          <w:sz w:val="28"/>
          <w:szCs w:val="28"/>
        </w:rPr>
        <w:t>封存）</w:t>
      </w:r>
      <w:r>
        <w:rPr>
          <w:rFonts w:hint="eastAsia" w:ascii="仿宋_GB2312" w:hAnsi="仿宋_GB2312" w:eastAsia="仿宋_GB2312" w:cs="仿宋_GB2312"/>
          <w:color w:val="000000"/>
          <w:spacing w:val="-4"/>
          <w:sz w:val="28"/>
          <w:szCs w:val="28"/>
        </w:rPr>
        <w:t>；④</w:t>
      </w:r>
      <w:r>
        <w:rPr>
          <w:rFonts w:ascii="仿宋_GB2312" w:hAnsi="仿宋_GB2312" w:eastAsia="仿宋_GB2312" w:cs="仿宋_GB2312"/>
          <w:color w:val="000000"/>
          <w:spacing w:val="-4"/>
          <w:sz w:val="28"/>
          <w:szCs w:val="28"/>
        </w:rPr>
        <w:t>不准未经允许擅离候考室</w:t>
      </w:r>
      <w:r>
        <w:rPr>
          <w:rFonts w:hint="eastAsia" w:ascii="仿宋_GB2312" w:hAnsi="仿宋_GB2312" w:eastAsia="仿宋_GB2312" w:cs="仿宋_GB2312"/>
          <w:color w:val="000000"/>
          <w:spacing w:val="-4"/>
          <w:sz w:val="28"/>
          <w:szCs w:val="28"/>
        </w:rPr>
        <w:t>；⑤</w:t>
      </w:r>
      <w:r>
        <w:rPr>
          <w:rFonts w:ascii="仿宋_GB2312" w:hAnsi="仿宋_GB2312" w:eastAsia="仿宋_GB2312" w:cs="仿宋_GB2312"/>
          <w:color w:val="000000"/>
          <w:spacing w:val="-4"/>
          <w:sz w:val="28"/>
          <w:szCs w:val="28"/>
        </w:rPr>
        <w:t>不准违反保密、回避规定</w:t>
      </w:r>
      <w:r>
        <w:rPr>
          <w:rFonts w:hint="eastAsia" w:ascii="仿宋_GB2312" w:hAnsi="仿宋_GB2312" w:eastAsia="仿宋_GB2312" w:cs="仿宋_GB2312"/>
          <w:color w:val="000000"/>
          <w:spacing w:val="-4"/>
          <w:sz w:val="28"/>
          <w:szCs w:val="28"/>
        </w:rPr>
        <w:t>；⑥</w:t>
      </w:r>
      <w:r>
        <w:rPr>
          <w:rFonts w:ascii="仿宋_GB2312" w:hAnsi="仿宋_GB2312" w:eastAsia="仿宋_GB2312" w:cs="仿宋_GB2312"/>
          <w:color w:val="000000"/>
          <w:spacing w:val="-4"/>
          <w:sz w:val="28"/>
          <w:szCs w:val="28"/>
        </w:rPr>
        <w:t>不准有其他影响面试公平公正或面试工作正常开展的言行。</w:t>
      </w:r>
      <w:r>
        <w:rPr>
          <w:rFonts w:ascii="Times New Roman" w:hAnsi="Times New Roman" w:eastAsia="黑体" w:cs="Times New Roman"/>
          <w:spacing w:val="-4"/>
          <w:sz w:val="28"/>
          <w:szCs w:val="28"/>
        </w:rPr>
        <w:t>凡违反“六不准”之一的面试考生，</w:t>
      </w:r>
      <w:r>
        <w:rPr>
          <w:rFonts w:ascii="Times New Roman" w:hAnsi="Times New Roman" w:eastAsia="黑体" w:cs="Times New Roman"/>
          <w:sz w:val="28"/>
          <w:szCs w:val="28"/>
        </w:rPr>
        <w:t>依法依规严肃处理。</w:t>
      </w:r>
    </w:p>
    <w:p>
      <w:pPr>
        <w:spacing w:line="400" w:lineRule="exact"/>
        <w:ind w:firstLine="66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7.面试考生须自备符合防疫要求的一次性医用外科及以上级别口罩，口罩上不得有特殊标识，除身份确认、用餐等需要外，须全程佩戴，做好个人防护。</w:t>
      </w:r>
    </w:p>
    <w:p>
      <w:pPr>
        <w:spacing w:line="400" w:lineRule="exact"/>
        <w:ind w:firstLine="66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8.各位考生要绷紧疫情防控这根弦，切实增强防护意识、遵守防控要求、配合防疫管理，做自己健康的第一责任人。坚持外出戴口罩、勤洗手、常通风、保持社交距离、不聚餐、不聚集，减少疾病感染风险。</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9</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10.面试考生须认真阅读并签署本告知暨承诺书，知悉告知事项、证明义务和防疫要求，自愿承担因不实行为应承担的相关责任并接受相应处理。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_GB2312" w:hAnsi="Times New Roman" w:eastAsia="宋体" w:cs="Times New Roman"/>
          <w:b/>
          <w:bCs/>
          <w:spacing w:val="-4"/>
          <w:sz w:val="28"/>
          <w:szCs w:val="28"/>
          <w:u w:val="single"/>
        </w:rPr>
      </w:pPr>
      <w:r>
        <w:rPr>
          <w:rFonts w:hint="eastAsia" w:ascii="仿宋_GB2312" w:hAnsi="仿宋_GB2312" w:eastAsia="仿宋_GB2312" w:cs="仿宋_GB2312"/>
          <w:color w:val="000000"/>
          <w:spacing w:val="-4"/>
          <w:sz w:val="28"/>
          <w:szCs w:val="28"/>
        </w:rPr>
        <w:t>请用正楷字抄写以下这段话，并于面试当天将本告知暨承诺书和《2022年长春市</w:t>
      </w:r>
      <w:r>
        <w:rPr>
          <w:rFonts w:hint="eastAsia" w:ascii="仿宋_GB2312" w:hAnsi="仿宋_GB2312" w:eastAsia="仿宋_GB2312" w:cs="仿宋_GB2312"/>
          <w:color w:val="000000"/>
          <w:spacing w:val="-4"/>
          <w:sz w:val="28"/>
          <w:szCs w:val="28"/>
          <w:lang w:eastAsia="zh-CN"/>
        </w:rPr>
        <w:t>宽城区事业</w:t>
      </w:r>
      <w:r>
        <w:rPr>
          <w:rFonts w:hint="eastAsia" w:ascii="仿宋_GB2312" w:hAnsi="仿宋_GB2312" w:eastAsia="仿宋_GB2312" w:cs="仿宋_GB2312"/>
          <w:color w:val="000000"/>
          <w:spacing w:val="-4"/>
          <w:sz w:val="28"/>
          <w:szCs w:val="28"/>
        </w:rPr>
        <w:t>单位公开招聘工作人员（含专项招聘高校毕业生）面试考生健康管理信息承诺书》上交指定工作人员：</w:t>
      </w:r>
      <w:r>
        <w:rPr>
          <w:rFonts w:hint="eastAsia" w:ascii="华文仿宋" w:hAnsi="华文仿宋" w:eastAsia="华文仿宋" w:cs="华文仿宋"/>
          <w:b/>
          <w:bCs/>
          <w:spacing w:val="-4"/>
          <w:sz w:val="28"/>
          <w:szCs w:val="28"/>
          <w:u w:val="single"/>
        </w:rPr>
        <w:t>我已认真阅读并知晓以上告知事项。我承诺：严格遵守以上要求，否则，自愿承担一切后果</w:t>
      </w:r>
      <w:r>
        <w:rPr>
          <w:rFonts w:ascii="楷体_GB2312" w:hAnsi="楷体_GB2312" w:eastAsia="宋体" w:cs="Times New Roman"/>
          <w:b/>
          <w:bCs/>
          <w:spacing w:val="-4"/>
          <w:sz w:val="28"/>
          <w:szCs w:val="28"/>
          <w:u w:val="single"/>
        </w:rPr>
        <w:t>。</w:t>
      </w:r>
    </w:p>
    <w:tbl>
      <w:tblPr>
        <w:tblStyle w:val="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rPr>
        <w:t>2</w:t>
      </w:r>
      <w:r>
        <w:rPr>
          <w:rFonts w:ascii="Times New Roman" w:hAnsi="Times New Roman" w:eastAsia="楷体_GB2312" w:cs="Times New Roman"/>
          <w:sz w:val="28"/>
          <w:szCs w:val="28"/>
          <w:u w:val="single"/>
        </w:rPr>
        <w:t>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sdtPr>
    <w:sdtEndPr>
      <w:rPr>
        <w:sz w:val="28"/>
        <w:szCs w:val="28"/>
      </w:rPr>
    </w:sdtEndPr>
    <w:sdtContent>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NGEzMzM5OWI1Y2RjYmFiNTc5Mzg2OGY2MjNhODcifQ=="/>
  </w:docVars>
  <w:rsids>
    <w:rsidRoot w:val="0080033D"/>
    <w:rsid w:val="00216A1C"/>
    <w:rsid w:val="00381FE4"/>
    <w:rsid w:val="0045320C"/>
    <w:rsid w:val="00587059"/>
    <w:rsid w:val="0080033D"/>
    <w:rsid w:val="009F008E"/>
    <w:rsid w:val="00A03954"/>
    <w:rsid w:val="00A97858"/>
    <w:rsid w:val="00B8029D"/>
    <w:rsid w:val="00BB6FC5"/>
    <w:rsid w:val="00CA4ADE"/>
    <w:rsid w:val="00DC62D3"/>
    <w:rsid w:val="04206FB5"/>
    <w:rsid w:val="06B27B18"/>
    <w:rsid w:val="0B995089"/>
    <w:rsid w:val="0D186410"/>
    <w:rsid w:val="18AB0FDA"/>
    <w:rsid w:val="1BF23BC7"/>
    <w:rsid w:val="1C252021"/>
    <w:rsid w:val="1CBE1ADD"/>
    <w:rsid w:val="1D4F13A0"/>
    <w:rsid w:val="1E69578C"/>
    <w:rsid w:val="1EF9608D"/>
    <w:rsid w:val="27126B31"/>
    <w:rsid w:val="29465BB0"/>
    <w:rsid w:val="2E0630BA"/>
    <w:rsid w:val="31F018CC"/>
    <w:rsid w:val="328332AA"/>
    <w:rsid w:val="3AAB1149"/>
    <w:rsid w:val="3C627989"/>
    <w:rsid w:val="3D487EBD"/>
    <w:rsid w:val="442B5397"/>
    <w:rsid w:val="45C96CDB"/>
    <w:rsid w:val="47187669"/>
    <w:rsid w:val="48E155A0"/>
    <w:rsid w:val="4C797214"/>
    <w:rsid w:val="4D975614"/>
    <w:rsid w:val="50633173"/>
    <w:rsid w:val="528B50F4"/>
    <w:rsid w:val="5B655C76"/>
    <w:rsid w:val="5D3E52C6"/>
    <w:rsid w:val="63AD5DD7"/>
    <w:rsid w:val="676270E4"/>
    <w:rsid w:val="6D430C0D"/>
    <w:rsid w:val="6DD92AC5"/>
    <w:rsid w:val="70133ECA"/>
    <w:rsid w:val="70D651E1"/>
    <w:rsid w:val="73EC1AA2"/>
    <w:rsid w:val="78A624A1"/>
    <w:rsid w:val="7E3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1409</Characters>
  <Lines>11</Lines>
  <Paragraphs>3</Paragraphs>
  <TotalTime>8</TotalTime>
  <ScaleCrop>false</ScaleCrop>
  <LinksUpToDate>false</LinksUpToDate>
  <CharactersWithSpaces>1653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2021-06-29T03:39:00Z</dcterms:created>
  <dc:creator>yuan</dc:creator>
  <cp:lastModifiedBy>Administrator</cp:lastModifiedBy>
  <cp:lastPrinted>2022-11-18T01:34:51Z</cp:lastPrinted>
  <dcterms:modified xsi:type="dcterms:W3CDTF">2022-11-18T01:35:06Z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E0C48F25A84C4FE9ACF7CA40E936A001</vt:lpwstr>
  </property>
</Properties>
</file>