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5DB9D">
      <w:pPr>
        <w:bidi w:val="0"/>
        <w:rPr>
          <w:color w:val="000000" w:themeColor="text1"/>
          <w14:textFill>
            <w14:solidFill>
              <w14:schemeClr w14:val="tx1"/>
            </w14:solidFill>
          </w14:textFill>
        </w:rPr>
      </w:pPr>
      <w:r>
        <w:rPr>
          <w:color w:val="000000" w:themeColor="text1"/>
          <w14:textFill>
            <w14:solidFill>
              <w14:schemeClr w14:val="tx1"/>
            </w14:solidFill>
          </w14:textFill>
        </w:rPr>
        <w:t xml:space="preserve"> </w:t>
      </w:r>
      <w:bookmarkStart w:id="0" w:name="_Toc1672844176"/>
      <w:bookmarkStart w:id="1" w:name="_Toc361142277"/>
      <w:bookmarkStart w:id="2" w:name="_Toc311283381"/>
      <w:bookmarkStart w:id="3" w:name="_Toc1891802197"/>
      <w:bookmarkStart w:id="4" w:name="_Toc807610176"/>
    </w:p>
    <w:p w14:paraId="0227133F">
      <w:pPr>
        <w:bidi w:val="0"/>
        <w:rPr>
          <w:color w:val="000000" w:themeColor="text1"/>
          <w14:textFill>
            <w14:solidFill>
              <w14:schemeClr w14:val="tx1"/>
            </w14:solidFill>
          </w14:textFill>
        </w:rPr>
      </w:pPr>
    </w:p>
    <w:p w14:paraId="3019F915">
      <w:pPr>
        <w:bidi w:val="0"/>
        <w:rPr>
          <w:color w:val="000000" w:themeColor="text1"/>
          <w14:textFill>
            <w14:solidFill>
              <w14:schemeClr w14:val="tx1"/>
            </w14:solidFill>
          </w14:textFill>
        </w:rPr>
      </w:pPr>
    </w:p>
    <w:p w14:paraId="6F756003">
      <w:pPr>
        <w:spacing w:line="480" w:lineRule="auto"/>
        <w:ind w:firstLine="0" w:firstLineChars="0"/>
        <w:jc w:val="center"/>
        <w:outlineLvl w:val="9"/>
        <w:rPr>
          <w:rFonts w:hint="eastAsia" w:ascii="方正小标宋简体" w:hAnsi="方正小标宋简体" w:eastAsia="方正小标宋简体" w:cs="方正小标宋简体"/>
          <w:color w:val="000000" w:themeColor="text1"/>
          <w:sz w:val="48"/>
          <w:szCs w:val="48"/>
          <w14:textFill>
            <w14:solidFill>
              <w14:schemeClr w14:val="tx1"/>
            </w14:solidFill>
          </w14:textFill>
        </w:rPr>
      </w:pPr>
      <w:bookmarkStart w:id="5" w:name="_Toc2007826652"/>
      <w:bookmarkStart w:id="6" w:name="_Toc1699123275"/>
      <w:bookmarkStart w:id="7" w:name="_Toc27830"/>
      <w:bookmarkStart w:id="8" w:name="_Toc1124037420"/>
      <w:bookmarkStart w:id="9" w:name="_Toc1015454627"/>
      <w:bookmarkStart w:id="10" w:name="_Toc633573204"/>
      <w:bookmarkStart w:id="11" w:name="_Toc667900718"/>
      <w:bookmarkStart w:id="12" w:name="_Toc497507964"/>
      <w:r>
        <w:rPr>
          <w:rFonts w:hint="eastAsia" w:ascii="方正小标宋简体" w:hAnsi="方正小标宋简体" w:eastAsia="方正小标宋简体" w:cs="方正小标宋简体"/>
          <w:color w:val="000000" w:themeColor="text1"/>
          <w:sz w:val="48"/>
          <w:szCs w:val="48"/>
          <w14:textFill>
            <w14:solidFill>
              <w14:schemeClr w14:val="tx1"/>
            </w14:solidFill>
          </w14:textFill>
        </w:rPr>
        <w:t>长春市宽城区国民经济和社会发展</w:t>
      </w:r>
      <w:bookmarkEnd w:id="5"/>
      <w:bookmarkEnd w:id="6"/>
      <w:bookmarkEnd w:id="7"/>
      <w:bookmarkEnd w:id="8"/>
      <w:bookmarkEnd w:id="9"/>
      <w:bookmarkEnd w:id="10"/>
      <w:bookmarkEnd w:id="11"/>
      <w:bookmarkEnd w:id="12"/>
    </w:p>
    <w:p w14:paraId="04F14B94">
      <w:pPr>
        <w:spacing w:line="480" w:lineRule="auto"/>
        <w:ind w:firstLine="0" w:firstLineChars="0"/>
        <w:jc w:val="center"/>
        <w:outlineLvl w:val="9"/>
        <w:rPr>
          <w:rFonts w:hint="eastAsia" w:ascii="方正小标宋简体" w:hAnsi="方正小标宋简体" w:eastAsia="方正小标宋简体" w:cs="方正小标宋简体"/>
          <w:color w:val="000000" w:themeColor="text1"/>
          <w:sz w:val="48"/>
          <w:szCs w:val="48"/>
          <w:lang w:val="en-US" w:eastAsia="zh-CN"/>
          <w14:textFill>
            <w14:solidFill>
              <w14:schemeClr w14:val="tx1"/>
            </w14:solidFill>
          </w14:textFill>
        </w:rPr>
      </w:pPr>
      <w:bookmarkStart w:id="13" w:name="_Toc2074828766"/>
      <w:bookmarkStart w:id="14" w:name="_Toc2131994853"/>
      <w:bookmarkStart w:id="15" w:name="_Toc1240917802"/>
      <w:bookmarkStart w:id="16" w:name="_Toc510344557"/>
      <w:bookmarkStart w:id="17" w:name="_Toc693373280"/>
      <w:bookmarkStart w:id="18" w:name="_Toc1462513177"/>
      <w:bookmarkStart w:id="19" w:name="_Toc283275281"/>
      <w:bookmarkStart w:id="20" w:name="_Toc6910"/>
      <w:r>
        <w:rPr>
          <w:rFonts w:hint="eastAsia" w:ascii="方正小标宋简体" w:hAnsi="方正小标宋简体" w:eastAsia="方正小标宋简体" w:cs="方正小标宋简体"/>
          <w:color w:val="000000" w:themeColor="text1"/>
          <w:sz w:val="48"/>
          <w:szCs w:val="48"/>
          <w14:textFill>
            <w14:solidFill>
              <w14:schemeClr w14:val="tx1"/>
            </w14:solidFill>
          </w14:textFill>
        </w:rPr>
        <w:t>第十五个五年规划纲要</w:t>
      </w:r>
      <w:bookmarkEnd w:id="13"/>
      <w:bookmarkEnd w:id="14"/>
      <w:bookmarkEnd w:id="15"/>
      <w:bookmarkEnd w:id="16"/>
      <w:bookmarkEnd w:id="17"/>
      <w:bookmarkEnd w:id="18"/>
      <w:bookmarkEnd w:id="19"/>
      <w:bookmarkEnd w:id="20"/>
      <w:r>
        <w:rPr>
          <w:rFonts w:hint="eastAsia" w:ascii="方正小标宋简体" w:hAnsi="方正小标宋简体" w:eastAsia="方正小标宋简体" w:cs="方正小标宋简体"/>
          <w:color w:val="000000" w:themeColor="text1"/>
          <w:sz w:val="48"/>
          <w:szCs w:val="48"/>
          <w:lang w:val="en-US" w:eastAsia="zh-CN"/>
          <w14:textFill>
            <w14:solidFill>
              <w14:schemeClr w14:val="tx1"/>
            </w14:solidFill>
          </w14:textFill>
        </w:rPr>
        <w:t>框架</w:t>
      </w:r>
    </w:p>
    <w:p w14:paraId="201C8BB9">
      <w:pPr>
        <w:spacing w:line="480" w:lineRule="auto"/>
        <w:ind w:firstLine="0" w:firstLineChars="0"/>
        <w:jc w:val="center"/>
        <w:outlineLvl w:val="9"/>
        <w:rPr>
          <w:rFonts w:hint="eastAsia" w:ascii="方正小标宋简体" w:hAnsi="方正小标宋简体" w:eastAsia="方正小标宋简体" w:cs="方正小标宋简体"/>
          <w:color w:val="000000" w:themeColor="text1"/>
          <w:sz w:val="48"/>
          <w:szCs w:val="48"/>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8"/>
          <w:szCs w:val="48"/>
          <w:lang w:val="en-US" w:eastAsia="zh-CN"/>
          <w14:textFill>
            <w14:solidFill>
              <w14:schemeClr w14:val="tx1"/>
            </w14:solidFill>
          </w14:textFill>
        </w:rPr>
        <w:t>（征求意见稿）</w:t>
      </w:r>
    </w:p>
    <w:p w14:paraId="37ED233D">
      <w:pPr>
        <w:bidi w:val="0"/>
        <w:rPr>
          <w:color w:val="000000" w:themeColor="text1"/>
          <w14:textFill>
            <w14:solidFill>
              <w14:schemeClr w14:val="tx1"/>
            </w14:solidFill>
          </w14:textFill>
        </w:rPr>
      </w:pPr>
    </w:p>
    <w:p w14:paraId="1F6DB706">
      <w:pPr>
        <w:bidi w:val="0"/>
        <w:rPr>
          <w:color w:val="000000" w:themeColor="text1"/>
          <w14:textFill>
            <w14:solidFill>
              <w14:schemeClr w14:val="tx1"/>
            </w14:solidFill>
          </w14:textFill>
        </w:rPr>
      </w:pPr>
    </w:p>
    <w:p w14:paraId="4F132F2E">
      <w:pPr>
        <w:bidi w:val="0"/>
        <w:rPr>
          <w:color w:val="000000" w:themeColor="text1"/>
          <w14:textFill>
            <w14:solidFill>
              <w14:schemeClr w14:val="tx1"/>
            </w14:solidFill>
          </w14:textFill>
        </w:rPr>
      </w:pPr>
    </w:p>
    <w:p w14:paraId="2E05D4EC">
      <w:pPr>
        <w:bidi w:val="0"/>
        <w:rPr>
          <w:color w:val="000000" w:themeColor="text1"/>
          <w14:textFill>
            <w14:solidFill>
              <w14:schemeClr w14:val="tx1"/>
            </w14:solidFill>
          </w14:textFill>
        </w:rPr>
      </w:pPr>
    </w:p>
    <w:p w14:paraId="30C63A13">
      <w:pPr>
        <w:bidi w:val="0"/>
        <w:rPr>
          <w:color w:val="000000" w:themeColor="text1"/>
          <w14:textFill>
            <w14:solidFill>
              <w14:schemeClr w14:val="tx1"/>
            </w14:solidFill>
          </w14:textFill>
        </w:rPr>
      </w:pPr>
    </w:p>
    <w:p w14:paraId="3FAECAA9">
      <w:pPr>
        <w:bidi w:val="0"/>
        <w:rPr>
          <w:color w:val="000000" w:themeColor="text1"/>
          <w14:textFill>
            <w14:solidFill>
              <w14:schemeClr w14:val="tx1"/>
            </w14:solidFill>
          </w14:textFill>
        </w:rPr>
      </w:pPr>
    </w:p>
    <w:p w14:paraId="2FA1947B">
      <w:pPr>
        <w:bidi w:val="0"/>
        <w:rPr>
          <w:color w:val="000000" w:themeColor="text1"/>
          <w14:textFill>
            <w14:solidFill>
              <w14:schemeClr w14:val="tx1"/>
            </w14:solidFill>
          </w14:textFill>
        </w:rPr>
      </w:pPr>
    </w:p>
    <w:p w14:paraId="64C9F96A">
      <w:pPr>
        <w:bidi w:val="0"/>
        <w:rPr>
          <w:color w:val="000000" w:themeColor="text1"/>
          <w14:textFill>
            <w14:solidFill>
              <w14:schemeClr w14:val="tx1"/>
            </w14:solidFill>
          </w14:textFill>
        </w:rPr>
      </w:pPr>
    </w:p>
    <w:p w14:paraId="33724355">
      <w:pPr>
        <w:bidi w:val="0"/>
        <w:rPr>
          <w:color w:val="000000" w:themeColor="text1"/>
          <w14:textFill>
            <w14:solidFill>
              <w14:schemeClr w14:val="tx1"/>
            </w14:solidFill>
          </w14:textFill>
        </w:rPr>
      </w:pPr>
    </w:p>
    <w:p w14:paraId="418DD5F7">
      <w:pPr>
        <w:bidi w:val="0"/>
        <w:rPr>
          <w:color w:val="000000" w:themeColor="text1"/>
          <w14:textFill>
            <w14:solidFill>
              <w14:schemeClr w14:val="tx1"/>
            </w14:solidFill>
          </w14:textFill>
        </w:rPr>
      </w:pPr>
    </w:p>
    <w:bookmarkEnd w:id="0"/>
    <w:bookmarkEnd w:id="1"/>
    <w:bookmarkEnd w:id="2"/>
    <w:bookmarkEnd w:id="3"/>
    <w:bookmarkEnd w:id="4"/>
    <w:p w14:paraId="52932DAC">
      <w:pPr>
        <w:keepNext w:val="0"/>
        <w:keepLines w:val="0"/>
        <w:pageBreakBefore w:val="0"/>
        <w:widowControl/>
        <w:kinsoku/>
        <w:wordWrap/>
        <w:overflowPunct/>
        <w:topLinePunct w:val="0"/>
        <w:autoSpaceDE/>
        <w:autoSpaceDN/>
        <w:bidi w:val="0"/>
        <w:adjustRightInd/>
        <w:snapToGrid/>
        <w:spacing w:before="313" w:beforeLines="100" w:after="313" w:afterLines="100"/>
        <w:ind w:firstLine="0" w:firstLineChars="0"/>
        <w:jc w:val="center"/>
        <w:textAlignment w:val="auto"/>
        <w:outlineLvl w:val="9"/>
        <w:rPr>
          <w:rFonts w:hint="eastAsia" w:ascii="方正小标宋简体" w:hAnsi="方正小标宋简体" w:eastAsia="方正小标宋简体" w:cs="方正小标宋简体"/>
          <w:color w:val="000000" w:themeColor="text1"/>
          <w:sz w:val="48"/>
          <w:szCs w:val="48"/>
          <w14:textFill>
            <w14:solidFill>
              <w14:schemeClr w14:val="tx1"/>
            </w14:solidFill>
          </w14:textFill>
        </w:rPr>
      </w:pPr>
    </w:p>
    <w:p w14:paraId="75A06920">
      <w:pPr>
        <w:keepNext w:val="0"/>
        <w:keepLines w:val="0"/>
        <w:pageBreakBefore w:val="0"/>
        <w:widowControl/>
        <w:kinsoku/>
        <w:wordWrap/>
        <w:overflowPunct/>
        <w:topLinePunct w:val="0"/>
        <w:autoSpaceDE/>
        <w:autoSpaceDN/>
        <w:bidi w:val="0"/>
        <w:adjustRightInd/>
        <w:snapToGrid/>
        <w:spacing w:before="313" w:beforeLines="100" w:after="313" w:afterLines="100"/>
        <w:ind w:firstLine="0" w:firstLineChars="0"/>
        <w:jc w:val="both"/>
        <w:textAlignment w:val="auto"/>
        <w:outlineLvl w:val="9"/>
        <w:rPr>
          <w:rFonts w:hint="eastAsia" w:ascii="方正小标宋简体" w:hAnsi="方正小标宋简体" w:eastAsia="方正小标宋简体" w:cs="方正小标宋简体"/>
          <w:color w:val="000000" w:themeColor="text1"/>
          <w:sz w:val="48"/>
          <w:szCs w:val="48"/>
          <w14:textFill>
            <w14:solidFill>
              <w14:schemeClr w14:val="tx1"/>
            </w14:solidFill>
          </w14:textFill>
        </w:rPr>
      </w:pPr>
    </w:p>
    <w:p w14:paraId="048F8DCD">
      <w:pPr>
        <w:pStyle w:val="2"/>
        <w:spacing w:before="312" w:after="312" w:line="600" w:lineRule="exact"/>
        <w:rPr>
          <w:rFonts w:hint="eastAsia"/>
          <w:color w:val="000000" w:themeColor="text1"/>
          <w14:textFill>
            <w14:solidFill>
              <w14:schemeClr w14:val="tx1"/>
            </w14:solidFill>
          </w14:textFill>
        </w:rPr>
      </w:pPr>
      <w:bookmarkStart w:id="21" w:name="_Toc22159"/>
      <w:bookmarkStart w:id="22" w:name="_Toc1954"/>
      <w:bookmarkStart w:id="23" w:name="_Toc6508"/>
      <w:bookmarkStart w:id="24" w:name="_Toc211153986"/>
      <w:bookmarkStart w:id="25" w:name="_Toc1539775806"/>
      <w:bookmarkStart w:id="26" w:name="_Toc866249950"/>
      <w:bookmarkStart w:id="27" w:name="_Toc24267"/>
      <w:bookmarkStart w:id="28" w:name="_Toc1236909500"/>
      <w:bookmarkStart w:id="29" w:name="_Toc916314707"/>
      <w:bookmarkStart w:id="30" w:name="_Toc929938246"/>
      <w:bookmarkStart w:id="31" w:name="_Toc22890"/>
      <w:bookmarkStart w:id="32" w:name="_Toc436181385"/>
      <w:bookmarkStart w:id="33" w:name="_Toc24312"/>
      <w:bookmarkStart w:id="34" w:name="_Toc927052258"/>
      <w:bookmarkStart w:id="35" w:name="_Toc872390575"/>
      <w:bookmarkStart w:id="36" w:name="_Toc909906949"/>
      <w:bookmarkStart w:id="37" w:name="_Toc17138"/>
      <w:bookmarkStart w:id="38" w:name="_Toc211153992"/>
      <w:bookmarkStart w:id="39" w:name="_Toc24045"/>
      <w:bookmarkStart w:id="40" w:name="_Toc74087719"/>
      <w:bookmarkStart w:id="41" w:name="_Toc67688234"/>
      <w:bookmarkStart w:id="42" w:name="_Toc2142417204"/>
      <w:bookmarkStart w:id="43" w:name="_Toc9948"/>
      <w:bookmarkStart w:id="44" w:name="_Toc20260"/>
      <w:bookmarkStart w:id="45" w:name="_Toc1463478041"/>
      <w:bookmarkStart w:id="46" w:name="_Toc1428468570"/>
      <w:bookmarkStart w:id="47" w:name="_Toc204652800"/>
      <w:bookmarkStart w:id="48" w:name="_Toc3961"/>
      <w:bookmarkStart w:id="49" w:name="_Toc1308761353"/>
      <w:bookmarkStart w:id="50" w:name="_Toc402256333"/>
      <w:bookmarkStart w:id="51" w:name="_Toc1436976226"/>
      <w:bookmarkStart w:id="52" w:name="_Toc324397833"/>
      <w:bookmarkStart w:id="53" w:name="_Toc448284952"/>
      <w:bookmarkStart w:id="54" w:name="_Toc10679"/>
      <w:bookmarkStart w:id="55" w:name="_Toc1375732528"/>
      <w:bookmarkStart w:id="56" w:name="_Toc1459282825"/>
      <w:bookmarkStart w:id="57" w:name="_Toc784798746"/>
      <w:bookmarkStart w:id="58" w:name="_Toc992770690"/>
      <w:bookmarkStart w:id="59" w:name="_Toc23168"/>
      <w:bookmarkStart w:id="60" w:name="_Toc1638835719"/>
      <w:bookmarkStart w:id="61" w:name="_Toc32707"/>
      <w:r>
        <w:rPr>
          <w:rFonts w:hint="eastAsia"/>
          <w:color w:val="000000" w:themeColor="text1"/>
          <w14:textFill>
            <w14:solidFill>
              <w14:schemeClr w14:val="tx1"/>
            </w14:solidFill>
          </w14:textFill>
        </w:rPr>
        <w:t>第一章 筑牢高质量发展根基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开启宽城振兴突破新征程</w:t>
      </w:r>
      <w:bookmarkEnd w:id="21"/>
      <w:bookmarkEnd w:id="22"/>
      <w:bookmarkEnd w:id="23"/>
      <w:bookmarkEnd w:id="24"/>
    </w:p>
    <w:p w14:paraId="21304C19">
      <w:pPr>
        <w:adjustRightInd w:val="0"/>
        <w:snapToGrid w:val="0"/>
        <w:spacing w:line="600" w:lineRule="exact"/>
        <w:ind w:firstLine="640"/>
        <w:rPr>
          <w:rFonts w:hint="eastAsia" w:ascii="仿宋_GB2312" w:hAnsi="仿宋_GB2312" w:eastAsia="仿宋_GB2312" w:cs="仿宋_GB2312"/>
        </w:rPr>
      </w:pPr>
      <w:bookmarkStart w:id="62" w:name="_Toc18268"/>
      <w:bookmarkStart w:id="63" w:name="_Toc10465"/>
      <w:bookmarkStart w:id="64" w:name="_Toc211153987"/>
      <w:bookmarkStart w:id="65" w:name="_Toc2001778595"/>
      <w:bookmarkStart w:id="66" w:name="_Toc500263192"/>
      <w:bookmarkStart w:id="67" w:name="_Toc907239900"/>
      <w:bookmarkStart w:id="68" w:name="_Toc690559141"/>
      <w:bookmarkStart w:id="69" w:name="_Toc1929243228"/>
      <w:bookmarkStart w:id="70" w:name="_Toc1283685081"/>
      <w:bookmarkStart w:id="71" w:name="_Toc109483981"/>
      <w:bookmarkStart w:id="72" w:name="_Toc12162"/>
      <w:bookmarkStart w:id="73" w:name="_Toc20263"/>
      <w:bookmarkStart w:id="74" w:name="_Toc11081"/>
      <w:bookmarkStart w:id="75" w:name="_Toc1438740993"/>
      <w:bookmarkStart w:id="76" w:name="_Toc648835997"/>
      <w:bookmarkStart w:id="77" w:name="_Toc18976"/>
      <w:bookmarkStart w:id="78" w:name="_Toc7036"/>
      <w:bookmarkStart w:id="79" w:name="_Toc2043794704"/>
      <w:bookmarkStart w:id="80" w:name="_Toc1552892931"/>
      <w:bookmarkStart w:id="81" w:name="_Toc945398366"/>
      <w:r>
        <w:rPr>
          <w:rFonts w:hint="eastAsia" w:ascii="仿宋_GB2312" w:hAnsi="仿宋_GB2312" w:eastAsia="仿宋_GB2312" w:cs="仿宋_GB2312"/>
        </w:rPr>
        <w:t>“十五五”时期，坚持</w:t>
      </w:r>
      <w:r>
        <w:rPr>
          <w:rFonts w:hint="eastAsia" w:ascii="仿宋_GB2312" w:hAnsi="仿宋_GB2312" w:eastAsia="仿宋_GB2312" w:cs="仿宋_GB2312"/>
          <w:lang w:val="zh-TW" w:eastAsia="zh-TW"/>
        </w:rPr>
        <w:t>以习近平新时代中国特色社会主义思想为指导，深入贯彻落实习近平总书记视察吉林重要讲话重要指示精神，抢抓东北</w:t>
      </w:r>
      <w:r>
        <w:rPr>
          <w:rFonts w:hint="eastAsia" w:ascii="仿宋_GB2312" w:hAnsi="仿宋_GB2312" w:eastAsia="仿宋_GB2312" w:cs="仿宋_GB2312"/>
          <w:lang w:val="zh-TW"/>
        </w:rPr>
        <w:t>全面</w:t>
      </w:r>
      <w:r>
        <w:rPr>
          <w:rFonts w:hint="eastAsia" w:ascii="仿宋_GB2312" w:hAnsi="仿宋_GB2312" w:eastAsia="仿宋_GB2312" w:cs="仿宋_GB2312"/>
          <w:lang w:val="zh-TW" w:eastAsia="zh-TW"/>
        </w:rPr>
        <w:t>振兴历史机遇</w:t>
      </w:r>
      <w:r>
        <w:rPr>
          <w:rFonts w:hint="eastAsia" w:ascii="仿宋_GB2312" w:hAnsi="仿宋_GB2312" w:eastAsia="仿宋_GB2312" w:cs="仿宋_GB2312"/>
          <w:lang w:val="zh-TW"/>
        </w:rPr>
        <w:t>，推动</w:t>
      </w:r>
      <w:r>
        <w:rPr>
          <w:rFonts w:hint="eastAsia" w:ascii="仿宋_GB2312" w:hAnsi="仿宋_GB2312" w:eastAsia="仿宋_GB2312" w:cs="仿宋_GB2312"/>
        </w:rPr>
        <w:t>长春现代化都市圈建设，在“十四五”高质量发展基础上，突出战略引领，强化关键举措，奋力开创宽城全面振兴突破的新局面。</w:t>
      </w:r>
    </w:p>
    <w:p w14:paraId="6D0D23F6">
      <w:pPr>
        <w:pStyle w:val="3"/>
        <w:spacing w:before="156" w:after="156" w:line="600" w:lineRule="exact"/>
        <w:ind w:firstLine="0" w:firstLineChars="0"/>
        <w:outlineLvl w:val="1"/>
        <w:rPr>
          <w:rFonts w:hint="eastAsia"/>
          <w:color w:val="000000" w:themeColor="text1"/>
          <w14:textFill>
            <w14:solidFill>
              <w14:schemeClr w14:val="tx1"/>
            </w14:solidFill>
          </w14:textFill>
        </w:rPr>
      </w:pPr>
      <w:bookmarkStart w:id="82" w:name="_Toc17145"/>
      <w:bookmarkStart w:id="83" w:name="_Toc30936"/>
      <w:r>
        <w:rPr>
          <w:rFonts w:hint="eastAsia"/>
          <w:color w:val="000000" w:themeColor="text1"/>
          <w14:textFill>
            <w14:solidFill>
              <w14:schemeClr w14:val="tx1"/>
            </w14:solidFill>
          </w14:textFill>
        </w:rPr>
        <w:t>第一节</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发展</w:t>
      </w:r>
      <w:bookmarkEnd w:id="62"/>
      <w:r>
        <w:rPr>
          <w:rFonts w:hint="eastAsia"/>
          <w:color w:val="000000" w:themeColor="text1"/>
          <w14:textFill>
            <w14:solidFill>
              <w14:schemeClr w14:val="tx1"/>
            </w14:solidFill>
          </w14:textFill>
        </w:rPr>
        <w:t>基础</w:t>
      </w:r>
      <w:bookmarkEnd w:id="63"/>
      <w:bookmarkEnd w:id="64"/>
      <w:bookmarkEnd w:id="82"/>
      <w:bookmarkEnd w:id="83"/>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797229F1">
      <w:pPr>
        <w:adjustRightInd w:val="0"/>
        <w:snapToGrid w:val="0"/>
        <w:spacing w:line="600" w:lineRule="exact"/>
        <w:rPr>
          <w:rFonts w:hint="eastAsia" w:ascii="仿宋_GB2312" w:hAnsi="仿宋_GB2312" w:eastAsia="仿宋_GB2312" w:cs="仿宋_GB2312"/>
          <w:b w:val="0"/>
          <w:bCs w:val="0"/>
        </w:rPr>
      </w:pPr>
      <w:bookmarkStart w:id="84" w:name="_Toc1365428060"/>
      <w:r>
        <w:rPr>
          <w:rFonts w:hint="eastAsia" w:ascii="仿宋_GB2312" w:hAnsi="仿宋_GB2312" w:eastAsia="仿宋_GB2312" w:cs="仿宋_GB2312"/>
        </w:rPr>
        <w:t>“十四五”</w:t>
      </w:r>
      <w:r>
        <w:rPr>
          <w:rFonts w:hint="eastAsia" w:ascii="仿宋_GB2312" w:hAnsi="仿宋_GB2312" w:cs="仿宋_GB2312"/>
          <w:lang w:val="en-US" w:eastAsia="zh-CN"/>
        </w:rPr>
        <w:t>时期</w:t>
      </w:r>
      <w:r>
        <w:rPr>
          <w:rFonts w:hint="eastAsia" w:ascii="仿宋_GB2312" w:hAnsi="仿宋_GB2312" w:eastAsia="仿宋_GB2312" w:cs="仿宋_GB2312"/>
        </w:rPr>
        <w:t>，面对复杂严峻的</w:t>
      </w:r>
      <w:r>
        <w:rPr>
          <w:rFonts w:hint="eastAsia" w:ascii="仿宋_GB2312" w:hAnsi="仿宋_GB2312" w:eastAsia="仿宋_GB2312" w:cs="仿宋_GB2312"/>
          <w:lang w:val="en-US" w:eastAsia="zh-CN"/>
        </w:rPr>
        <w:t>内</w:t>
      </w:r>
      <w:r>
        <w:rPr>
          <w:rFonts w:hint="eastAsia" w:ascii="仿宋_GB2312" w:hAnsi="仿宋_GB2312" w:eastAsia="仿宋_GB2312" w:cs="仿宋_GB2312"/>
        </w:rPr>
        <w:t>外部环境</w:t>
      </w:r>
      <w:r>
        <w:rPr>
          <w:rFonts w:hint="eastAsia" w:ascii="仿宋_GB2312" w:hAnsi="仿宋_GB2312" w:eastAsia="仿宋_GB2312" w:cs="仿宋_GB2312"/>
          <w:lang w:val="en-US" w:eastAsia="zh-CN"/>
        </w:rPr>
        <w:t>和</w:t>
      </w:r>
      <w:r>
        <w:rPr>
          <w:rFonts w:hint="eastAsia" w:ascii="仿宋_GB2312" w:hAnsi="仿宋_GB2312" w:eastAsia="仿宋_GB2312" w:cs="仿宋_GB2312"/>
        </w:rPr>
        <w:t>繁重艰巨的发展改革任务，全区上下深入贯彻党的二十大精神和习近平总书记关于吉林工作的重要讲话精神，坚持稳中求进工作总基调，以改革创新为引领，以新动能培育为依托，推动宽城经济社会高质量发展取得扎实成效</w:t>
      </w:r>
      <w:bookmarkEnd w:id="84"/>
      <w:bookmarkStart w:id="85" w:name="_Toc13141"/>
      <w:r>
        <w:rPr>
          <w:rFonts w:hint="eastAsia" w:hAnsi="仿宋_GB2312" w:cs="仿宋_GB2312"/>
          <w:lang w:eastAsia="zh-CN"/>
        </w:rPr>
        <w:t>，</w:t>
      </w:r>
      <w:r>
        <w:rPr>
          <w:rFonts w:hint="eastAsia" w:hAnsi="仿宋_GB2312" w:cs="仿宋_GB2312"/>
          <w:lang w:val="en-US" w:eastAsia="zh-CN"/>
        </w:rPr>
        <w:t>推动</w:t>
      </w:r>
      <w:r>
        <w:rPr>
          <w:rFonts w:hint="eastAsia" w:ascii="仿宋_GB2312" w:hAnsi="仿宋_GB2312" w:eastAsia="仿宋_GB2312" w:cs="仿宋_GB2312"/>
          <w:b w:val="0"/>
          <w:bCs w:val="0"/>
        </w:rPr>
        <w:t>综合实力整体</w:t>
      </w:r>
      <w:bookmarkEnd w:id="85"/>
      <w:r>
        <w:rPr>
          <w:rFonts w:hint="eastAsia" w:ascii="仿宋_GB2312" w:hAnsi="仿宋_GB2312" w:eastAsia="仿宋_GB2312" w:cs="仿宋_GB2312"/>
          <w:b w:val="0"/>
          <w:bCs w:val="0"/>
        </w:rPr>
        <w:t>跃升</w:t>
      </w:r>
      <w:bookmarkStart w:id="86" w:name="_Toc5510"/>
      <w:r>
        <w:rPr>
          <w:rFonts w:hint="eastAsia" w:hAnsi="仿宋_GB2312" w:cs="仿宋_GB2312"/>
          <w:b w:val="0"/>
          <w:bCs w:val="0"/>
          <w:lang w:eastAsia="zh-CN"/>
        </w:rPr>
        <w:t>、</w:t>
      </w:r>
      <w:r>
        <w:rPr>
          <w:rFonts w:hint="eastAsia" w:ascii="仿宋_GB2312" w:hAnsi="仿宋_GB2312" w:eastAsia="仿宋_GB2312" w:cs="仿宋_GB2312"/>
          <w:b w:val="0"/>
          <w:bCs w:val="0"/>
        </w:rPr>
        <w:t>发展动能愈加</w:t>
      </w:r>
      <w:bookmarkEnd w:id="86"/>
      <w:r>
        <w:rPr>
          <w:rFonts w:hint="eastAsia" w:ascii="仿宋_GB2312" w:hAnsi="仿宋_GB2312" w:eastAsia="仿宋_GB2312" w:cs="仿宋_GB2312"/>
          <w:b w:val="0"/>
          <w:bCs w:val="0"/>
        </w:rPr>
        <w:t>强劲</w:t>
      </w:r>
      <w:bookmarkStart w:id="87" w:name="_Toc30595"/>
      <w:r>
        <w:rPr>
          <w:rFonts w:hint="eastAsia" w:hAnsi="仿宋_GB2312" w:cs="仿宋_GB2312"/>
          <w:b w:val="0"/>
          <w:bCs w:val="0"/>
          <w:lang w:eastAsia="zh-CN"/>
        </w:rPr>
        <w:t>、</w:t>
      </w:r>
      <w:r>
        <w:rPr>
          <w:rFonts w:hint="eastAsia" w:ascii="仿宋_GB2312" w:hAnsi="仿宋_GB2312" w:eastAsia="仿宋_GB2312" w:cs="仿宋_GB2312"/>
          <w:b w:val="0"/>
          <w:bCs w:val="0"/>
        </w:rPr>
        <w:t>改革创新活力释放</w:t>
      </w:r>
      <w:bookmarkEnd w:id="87"/>
      <w:bookmarkStart w:id="88" w:name="_Toc27248"/>
      <w:r>
        <w:rPr>
          <w:rFonts w:hint="eastAsia" w:hAnsi="仿宋_GB2312" w:cs="仿宋_GB2312"/>
          <w:b w:val="0"/>
          <w:bCs w:val="0"/>
          <w:lang w:eastAsia="zh-CN"/>
        </w:rPr>
        <w:t>、</w:t>
      </w:r>
      <w:r>
        <w:rPr>
          <w:rFonts w:hint="eastAsia" w:ascii="仿宋_GB2312" w:hAnsi="仿宋_GB2312" w:eastAsia="仿宋_GB2312" w:cs="仿宋_GB2312"/>
          <w:b w:val="0"/>
          <w:bCs w:val="0"/>
        </w:rPr>
        <w:t>城乡</w:t>
      </w:r>
      <w:bookmarkEnd w:id="88"/>
      <w:r>
        <w:rPr>
          <w:rFonts w:hint="eastAsia" w:hAnsi="仿宋_GB2312" w:cs="仿宋_GB2312"/>
          <w:b w:val="0"/>
          <w:bCs w:val="0"/>
          <w:lang w:val="en-US" w:eastAsia="zh-CN"/>
        </w:rPr>
        <w:t>面貌显著提升、</w:t>
      </w:r>
      <w:r>
        <w:rPr>
          <w:rFonts w:hint="eastAsia" w:ascii="仿宋_GB2312" w:hAnsi="仿宋_GB2312" w:eastAsia="仿宋_GB2312" w:cs="仿宋_GB2312"/>
          <w:b w:val="0"/>
          <w:bCs w:val="0"/>
        </w:rPr>
        <w:t>民生福祉</w:t>
      </w:r>
      <w:r>
        <w:rPr>
          <w:rFonts w:hint="eastAsia" w:hAnsi="仿宋_GB2312" w:cs="仿宋_GB2312"/>
          <w:b w:val="0"/>
          <w:bCs w:val="0"/>
          <w:lang w:val="en-US" w:eastAsia="zh-CN"/>
        </w:rPr>
        <w:t>持续改善</w:t>
      </w:r>
      <w:r>
        <w:rPr>
          <w:rFonts w:hint="eastAsia" w:hAnsi="仿宋_GB2312" w:cs="仿宋_GB2312"/>
          <w:b w:val="0"/>
          <w:bCs w:val="0"/>
          <w:lang w:eastAsia="zh-CN"/>
        </w:rPr>
        <w:t>、</w:t>
      </w:r>
      <w:r>
        <w:rPr>
          <w:rFonts w:hint="eastAsia" w:hAnsi="仿宋_GB2312" w:cs="仿宋_GB2312"/>
          <w:b w:val="0"/>
          <w:bCs w:val="0"/>
          <w:color w:val="000000" w:themeColor="text1"/>
          <w:lang w:val="en-US" w:eastAsia="zh-CN"/>
          <w14:textFill>
            <w14:solidFill>
              <w14:schemeClr w14:val="tx1"/>
            </w14:solidFill>
          </w14:textFill>
        </w:rPr>
        <w:t>平安建设有力</w:t>
      </w:r>
      <w:r>
        <w:rPr>
          <w:rFonts w:hint="eastAsia" w:ascii="仿宋_GB2312" w:hAnsi="仿宋_GB2312" w:eastAsia="仿宋_GB2312" w:cs="仿宋_GB2312"/>
          <w:b w:val="0"/>
          <w:bCs w:val="0"/>
          <w:color w:val="000000" w:themeColor="text1"/>
          <w14:textFill>
            <w14:solidFill>
              <w14:schemeClr w14:val="tx1"/>
            </w14:solidFill>
          </w14:textFill>
        </w:rPr>
        <w:t>有效</w:t>
      </w:r>
      <w:r>
        <w:rPr>
          <w:rFonts w:hint="eastAsia" w:hAnsi="仿宋_GB2312" w:cs="仿宋_GB2312"/>
          <w:b w:val="0"/>
          <w:bCs w:val="0"/>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五年来</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区委、区政府团结带领全区上下坚定不移抓项目、蓄动能，稳增长、调结构，惠民生、防风险，战胜一系列风险考验，办成</w:t>
      </w:r>
      <w:r>
        <w:rPr>
          <w:rFonts w:hint="eastAsia" w:ascii="仿宋_GB2312" w:hAnsi="仿宋_GB2312" w:eastAsia="仿宋_GB2312" w:cs="仿宋_GB2312"/>
          <w:color w:val="000000" w:themeColor="text1"/>
          <w:lang w:val="en-US" w:eastAsia="zh-CN"/>
          <w14:textFill>
            <w14:solidFill>
              <w14:schemeClr w14:val="tx1"/>
            </w14:solidFill>
          </w14:textFill>
        </w:rPr>
        <w:t>许多想办没有办成的大事</w:t>
      </w:r>
      <w:r>
        <w:rPr>
          <w:rFonts w:hint="eastAsia" w:ascii="仿宋_GB2312" w:hAnsi="仿宋_GB2312" w:eastAsia="仿宋_GB2312" w:cs="仿宋_GB2312"/>
          <w:color w:val="000000" w:themeColor="text1"/>
          <w14:textFill>
            <w14:solidFill>
              <w14:schemeClr w14:val="tx1"/>
            </w14:solidFill>
          </w14:textFill>
        </w:rPr>
        <w:t>，宽城经济社会发展呈现出前所未有的活力。</w:t>
      </w:r>
    </w:p>
    <w:p w14:paraId="3C5E4F53">
      <w:pPr>
        <w:pStyle w:val="3"/>
        <w:bidi w:val="0"/>
        <w:ind w:firstLine="0" w:firstLineChars="0"/>
        <w:outlineLvl w:val="1"/>
        <w:rPr>
          <w:rFonts w:hint="eastAsia"/>
        </w:rPr>
      </w:pPr>
      <w:bookmarkStart w:id="89" w:name="_Toc24216"/>
      <w:bookmarkStart w:id="90" w:name="_Toc28577"/>
      <w:bookmarkStart w:id="91" w:name="_Toc211153988"/>
      <w:bookmarkStart w:id="92" w:name="_Toc710"/>
      <w:r>
        <w:rPr>
          <w:rFonts w:hint="eastAsia"/>
        </w:rPr>
        <w:t>第二节 发展环境</w:t>
      </w:r>
      <w:bookmarkEnd w:id="89"/>
      <w:bookmarkEnd w:id="90"/>
      <w:bookmarkEnd w:id="91"/>
      <w:bookmarkEnd w:id="92"/>
    </w:p>
    <w:p w14:paraId="483B9A90">
      <w:pPr>
        <w:adjustRightInd w:val="0"/>
        <w:snapToGrid w:val="0"/>
        <w:spacing w:line="600" w:lineRule="exact"/>
        <w:ind w:firstLine="640"/>
        <w:rPr>
          <w:rFonts w:hint="eastAsia" w:eastAsia="仿宋_GB2312" w:cs="仿宋_GB2312"/>
        </w:rPr>
      </w:pPr>
      <w:bookmarkStart w:id="93" w:name="_Hlk46446575"/>
      <w:r>
        <w:rPr>
          <w:szCs w:val="32"/>
        </w:rPr>
        <w:t>当前和今后一个时期，我国发展仍然处于重要战略机遇期，</w:t>
      </w:r>
      <w:r>
        <w:rPr>
          <w:rFonts w:hint="eastAsia"/>
          <w:szCs w:val="32"/>
          <w:lang w:val="en-US" w:eastAsia="zh-CN"/>
        </w:rPr>
        <w:t>我区发展的</w:t>
      </w:r>
      <w:r>
        <w:rPr>
          <w:szCs w:val="32"/>
        </w:rPr>
        <w:t>机遇和挑战</w:t>
      </w:r>
      <w:r>
        <w:rPr>
          <w:rFonts w:hint="eastAsia" w:cs="仿宋_GB2312"/>
          <w:lang w:val="en-US" w:eastAsia="zh-CN"/>
        </w:rPr>
        <w:t>正在发生新的变化。</w:t>
      </w:r>
      <w:r>
        <w:rPr>
          <w:rFonts w:hint="eastAsia" w:ascii="仿宋_GB2312" w:hAnsi="仿宋_GB2312" w:eastAsia="仿宋_GB2312" w:cs="仿宋_GB2312"/>
          <w:b/>
          <w:bCs/>
        </w:rPr>
        <w:t>从机遇上看</w:t>
      </w:r>
      <w:r>
        <w:rPr>
          <w:rFonts w:hint="eastAsia" w:ascii="仿宋_GB2312" w:hAnsi="仿宋_GB2312" w:eastAsia="仿宋_GB2312" w:cs="仿宋_GB2312"/>
          <w:b/>
          <w:bCs/>
          <w:color w:val="000000"/>
          <w:lang w:val="en-US" w:eastAsia="zh-CN"/>
        </w:rPr>
        <w:t>。</w:t>
      </w:r>
      <w:r>
        <w:rPr>
          <w:rFonts w:hint="eastAsia" w:ascii="仿宋_GB2312" w:hAnsi="仿宋_GB2312" w:eastAsia="仿宋_GB2312" w:cs="仿宋_GB2312"/>
          <w:b w:val="0"/>
          <w:bCs w:val="0"/>
          <w:color w:val="000000"/>
          <w:lang w:val="en-US" w:eastAsia="zh-CN"/>
        </w:rPr>
        <w:t>主要</w:t>
      </w:r>
      <w:r>
        <w:rPr>
          <w:rFonts w:hint="eastAsia" w:hAnsi="仿宋_GB2312" w:cs="仿宋_GB2312"/>
          <w:b w:val="0"/>
          <w:bCs w:val="0"/>
          <w:color w:val="000000"/>
          <w:lang w:val="en-US" w:eastAsia="zh-CN"/>
        </w:rPr>
        <w:t>是</w:t>
      </w:r>
      <w:r>
        <w:rPr>
          <w:rFonts w:hint="eastAsia" w:ascii="仿宋_GB2312" w:hAnsi="仿宋_GB2312" w:eastAsia="仿宋_GB2312" w:cs="仿宋_GB2312"/>
          <w:b w:val="0"/>
          <w:bCs w:val="0"/>
        </w:rPr>
        <w:t>全面深化改革的制度性机遇</w:t>
      </w:r>
      <w:r>
        <w:rPr>
          <w:rFonts w:hint="eastAsia" w:hAnsi="仿宋_GB2312" w:cs="仿宋_GB2312"/>
          <w:b w:val="0"/>
          <w:bCs w:val="0"/>
          <w:lang w:eastAsia="zh-CN"/>
        </w:rPr>
        <w:t>、</w:t>
      </w:r>
      <w:r>
        <w:rPr>
          <w:rFonts w:hint="eastAsia" w:ascii="仿宋_GB2312" w:hAnsi="仿宋_GB2312" w:eastAsia="仿宋_GB2312" w:cs="仿宋_GB2312"/>
          <w:b w:val="0"/>
          <w:bCs w:val="0"/>
        </w:rPr>
        <w:t>国家宏观调控的政策性机遇</w:t>
      </w:r>
      <w:r>
        <w:rPr>
          <w:rFonts w:hint="eastAsia" w:hAnsi="仿宋_GB2312" w:cs="仿宋_GB2312"/>
          <w:b w:val="0"/>
          <w:bCs w:val="0"/>
          <w:lang w:eastAsia="zh-CN"/>
        </w:rPr>
        <w:t>、</w:t>
      </w:r>
      <w:r>
        <w:rPr>
          <w:rFonts w:hint="eastAsia" w:ascii="仿宋_GB2312" w:hAnsi="仿宋_GB2312" w:eastAsia="仿宋_GB2312" w:cs="仿宋_GB2312"/>
          <w:b w:val="0"/>
          <w:bCs w:val="0"/>
        </w:rPr>
        <w:t>科技创新的突破性机遇</w:t>
      </w:r>
      <w:r>
        <w:rPr>
          <w:rFonts w:hint="eastAsia" w:hAnsi="仿宋_GB2312" w:cs="仿宋_GB2312"/>
          <w:b w:val="0"/>
          <w:bCs w:val="0"/>
          <w:lang w:eastAsia="zh-CN"/>
        </w:rPr>
        <w:t>、</w:t>
      </w:r>
      <w:r>
        <w:rPr>
          <w:rFonts w:hint="eastAsia" w:ascii="仿宋_GB2312" w:hAnsi="仿宋_GB2312" w:eastAsia="仿宋_GB2312" w:cs="仿宋_GB2312"/>
          <w:b w:val="0"/>
          <w:bCs w:val="0"/>
        </w:rPr>
        <w:t>绿色转型发展的变革性机遇</w:t>
      </w:r>
      <w:r>
        <w:rPr>
          <w:rFonts w:hint="eastAsia" w:hAnsi="仿宋_GB2312" w:cs="仿宋_GB2312"/>
          <w:b w:val="0"/>
          <w:bCs w:val="0"/>
          <w:lang w:eastAsia="zh-CN"/>
        </w:rPr>
        <w:t>、</w:t>
      </w:r>
      <w:r>
        <w:rPr>
          <w:rFonts w:hint="eastAsia" w:ascii="仿宋_GB2312" w:hAnsi="仿宋_GB2312" w:eastAsia="仿宋_GB2312" w:cs="仿宋_GB2312"/>
          <w:b w:val="0"/>
          <w:bCs w:val="0"/>
        </w:rPr>
        <w:t>东北亚地区开放合作的外部性机遇</w:t>
      </w:r>
      <w:r>
        <w:rPr>
          <w:rFonts w:hint="eastAsia" w:hAnsi="仿宋_GB2312" w:cs="仿宋_GB2312"/>
          <w:b w:val="0"/>
          <w:bCs w:val="0"/>
          <w:lang w:val="en-US" w:eastAsia="zh-CN"/>
        </w:rPr>
        <w:t>以及</w:t>
      </w:r>
      <w:r>
        <w:rPr>
          <w:rFonts w:hint="eastAsia" w:ascii="仿宋_GB2312" w:hAnsi="仿宋_GB2312" w:eastAsia="仿宋_GB2312" w:cs="仿宋_GB2312"/>
          <w:b w:val="0"/>
          <w:bCs w:val="0"/>
        </w:rPr>
        <w:t>吉林省</w:t>
      </w:r>
      <w:r>
        <w:rPr>
          <w:rFonts w:hint="eastAsia" w:ascii="仿宋_GB2312" w:hAnsi="仿宋_GB2312" w:eastAsia="仿宋_GB2312" w:cs="仿宋_GB2312"/>
          <w:b w:val="0"/>
          <w:bCs w:val="0"/>
          <w:lang w:val="en-US" w:eastAsia="zh-CN"/>
        </w:rPr>
        <w:t>开</w:t>
      </w:r>
      <w:r>
        <w:rPr>
          <w:rFonts w:hint="eastAsia" w:ascii="仿宋_GB2312" w:hAnsi="仿宋_GB2312" w:eastAsia="仿宋_GB2312" w:cs="仿宋_GB2312"/>
          <w:b w:val="0"/>
          <w:bCs w:val="0"/>
        </w:rPr>
        <w:t>长春现代</w:t>
      </w:r>
      <w:r>
        <w:rPr>
          <w:rFonts w:hint="eastAsia" w:hAnsi="仿宋_GB2312" w:cs="仿宋_GB2312"/>
          <w:b w:val="0"/>
          <w:bCs w:val="0"/>
          <w:lang w:val="en-US" w:eastAsia="zh-CN"/>
        </w:rPr>
        <w:t>化</w:t>
      </w:r>
      <w:r>
        <w:rPr>
          <w:rFonts w:hint="eastAsia" w:ascii="仿宋_GB2312" w:hAnsi="仿宋_GB2312" w:eastAsia="仿宋_GB2312" w:cs="仿宋_GB2312"/>
          <w:b w:val="0"/>
          <w:bCs w:val="0"/>
        </w:rPr>
        <w:t>都市圈建设的战略性机遇。</w:t>
      </w:r>
      <w:r>
        <w:rPr>
          <w:rFonts w:hint="eastAsia" w:ascii="仿宋_GB2312" w:hAnsi="仿宋_GB2312" w:eastAsia="仿宋_GB2312" w:cs="仿宋_GB2312"/>
          <w:b/>
          <w:bCs/>
        </w:rPr>
        <w:t>从挑战上看</w:t>
      </w:r>
      <w:r>
        <w:rPr>
          <w:rFonts w:hint="eastAsia" w:ascii="仿宋_GB2312" w:hAnsi="仿宋_GB2312" w:eastAsia="仿宋_GB2312" w:cs="仿宋_GB2312"/>
          <w:b/>
          <w:bCs/>
          <w:color w:val="000000"/>
        </w:rPr>
        <w:t>。</w:t>
      </w:r>
      <w:r>
        <w:rPr>
          <w:rFonts w:hint="eastAsia" w:eastAsia="仿宋_GB2312" w:cs="仿宋_GB2312"/>
          <w:b w:val="0"/>
          <w:bCs w:val="0"/>
          <w:color w:val="000000"/>
          <w:lang w:val="en-US" w:eastAsia="zh-CN"/>
        </w:rPr>
        <w:t>主要面临</w:t>
      </w:r>
      <w:r>
        <w:rPr>
          <w:rFonts w:hint="eastAsia" w:ascii="仿宋_GB2312" w:hAnsi="仿宋_GB2312" w:eastAsia="仿宋_GB2312" w:cs="仿宋_GB2312"/>
          <w:b w:val="0"/>
          <w:bCs w:val="0"/>
        </w:rPr>
        <w:t>经济发展持续承压的挑战</w:t>
      </w:r>
      <w:r>
        <w:rPr>
          <w:rFonts w:hint="eastAsia" w:hAnsi="仿宋_GB2312" w:cs="仿宋_GB2312"/>
          <w:b w:val="0"/>
          <w:bCs w:val="0"/>
          <w:lang w:eastAsia="zh-CN"/>
        </w:rPr>
        <w:t>、</w:t>
      </w:r>
      <w:r>
        <w:rPr>
          <w:rFonts w:hint="eastAsia" w:ascii="仿宋_GB2312" w:hAnsi="仿宋_GB2312" w:eastAsia="仿宋_GB2312" w:cs="仿宋_GB2312"/>
          <w:b w:val="0"/>
          <w:bCs w:val="0"/>
        </w:rPr>
        <w:t>要素竞争持续加剧的挑战</w:t>
      </w:r>
      <w:r>
        <w:rPr>
          <w:rFonts w:hint="eastAsia" w:hAnsi="仿宋_GB2312" w:cs="仿宋_GB2312"/>
          <w:b w:val="0"/>
          <w:bCs w:val="0"/>
          <w:lang w:eastAsia="zh-CN"/>
        </w:rPr>
        <w:t>、</w:t>
      </w:r>
      <w:r>
        <w:rPr>
          <w:rFonts w:hint="eastAsia" w:ascii="仿宋_GB2312" w:hAnsi="仿宋_GB2312" w:eastAsia="仿宋_GB2312" w:cs="仿宋_GB2312"/>
          <w:b w:val="0"/>
          <w:bCs w:val="0"/>
        </w:rPr>
        <w:t>资源环境约束的挑战</w:t>
      </w:r>
      <w:r>
        <w:rPr>
          <w:rFonts w:hint="eastAsia" w:hAnsi="仿宋_GB2312" w:cs="仿宋_GB2312"/>
          <w:b w:val="0"/>
          <w:bCs w:val="0"/>
          <w:lang w:eastAsia="zh-CN"/>
        </w:rPr>
        <w:t>、</w:t>
      </w:r>
      <w:r>
        <w:rPr>
          <w:rFonts w:hint="eastAsia" w:ascii="仿宋_GB2312" w:hAnsi="仿宋_GB2312" w:cs="仿宋_GB2312"/>
          <w:b w:val="0"/>
          <w:bCs w:val="0"/>
          <w:lang w:val="en-US" w:eastAsia="zh-CN"/>
        </w:rPr>
        <w:t>区域</w:t>
      </w:r>
      <w:r>
        <w:rPr>
          <w:rFonts w:hint="eastAsia" w:ascii="仿宋_GB2312" w:hAnsi="仿宋_GB2312" w:eastAsia="仿宋_GB2312" w:cs="仿宋_GB2312"/>
          <w:b w:val="0"/>
          <w:bCs w:val="0"/>
        </w:rPr>
        <w:t>竞争发展的挑战</w:t>
      </w:r>
      <w:r>
        <w:rPr>
          <w:rFonts w:hint="eastAsia" w:ascii="仿宋_GB2312" w:hAnsi="仿宋_GB2312" w:cs="仿宋_GB2312"/>
          <w:b w:val="0"/>
          <w:bCs w:val="0"/>
          <w:lang w:eastAsia="zh-CN"/>
        </w:rPr>
        <w:t>，</w:t>
      </w:r>
      <w:r>
        <w:t>全区要深刻认识当前发展阶段的新特征新要求，增强机遇意识和风险意识，</w:t>
      </w:r>
      <w:r>
        <w:rPr>
          <w:rFonts w:hint="eastAsia" w:ascii="仿宋_GB2312" w:hAnsi="仿宋_GB2312" w:eastAsia="仿宋_GB2312" w:cs="仿宋_GB2312"/>
        </w:rPr>
        <w:t>在新发展格局中找准发展定位，保持战略定力</w:t>
      </w:r>
      <w:r>
        <w:rPr>
          <w:rFonts w:hint="eastAsia" w:ascii="仿宋_GB2312" w:hAnsi="仿宋_GB2312" w:cs="仿宋_GB2312"/>
          <w:lang w:eastAsia="zh-CN"/>
        </w:rPr>
        <w:t>，</w:t>
      </w:r>
      <w:r>
        <w:rPr>
          <w:rFonts w:hint="eastAsia" w:ascii="仿宋_GB2312" w:hAnsi="仿宋_GB2312" w:eastAsia="仿宋_GB2312" w:cs="仿宋_GB2312"/>
        </w:rPr>
        <w:t>增强战术灵活，不断</w:t>
      </w:r>
      <w:r>
        <w:rPr>
          <w:rFonts w:hint="eastAsia" w:ascii="仿宋_GB2312" w:hAnsi="仿宋_GB2312" w:eastAsia="仿宋_GB2312" w:cs="仿宋_GB2312"/>
          <w:color w:val="000000"/>
        </w:rPr>
        <w:t>在危机中育新机、在变局中开新</w:t>
      </w:r>
      <w:r>
        <w:rPr>
          <w:rFonts w:hint="eastAsia" w:ascii="仿宋_GB2312" w:hAnsi="仿宋_GB2312" w:eastAsia="仿宋_GB2312" w:cs="仿宋_GB2312"/>
          <w:color w:val="000000"/>
          <w:lang w:val="en-US" w:eastAsia="zh-CN"/>
        </w:rPr>
        <w:t>局</w:t>
      </w:r>
      <w:r>
        <w:rPr>
          <w:rFonts w:hint="eastAsia" w:ascii="仿宋_GB2312" w:hAnsi="仿宋_GB2312" w:eastAsia="仿宋_GB2312" w:cs="仿宋_GB2312"/>
          <w:color w:val="000000"/>
          <w:lang w:eastAsia="zh-CN"/>
        </w:rPr>
        <w:t>。</w:t>
      </w:r>
    </w:p>
    <w:bookmarkEnd w:id="93"/>
    <w:p w14:paraId="134DF433">
      <w:pPr>
        <w:pStyle w:val="3"/>
        <w:spacing w:before="156" w:after="156" w:line="600" w:lineRule="exact"/>
        <w:ind w:firstLine="0" w:firstLineChars="0"/>
        <w:outlineLvl w:val="1"/>
        <w:rPr>
          <w:color w:val="000000" w:themeColor="text1"/>
          <w14:textFill>
            <w14:solidFill>
              <w14:schemeClr w14:val="tx1"/>
            </w14:solidFill>
          </w14:textFill>
        </w:rPr>
      </w:pPr>
      <w:bookmarkStart w:id="94" w:name="_Toc1634723237"/>
      <w:bookmarkStart w:id="95" w:name="_Toc1643082897"/>
      <w:bookmarkStart w:id="96" w:name="_Toc5542"/>
      <w:bookmarkStart w:id="97" w:name="_Toc2124258322"/>
      <w:bookmarkStart w:id="98" w:name="_Toc1681215898"/>
      <w:bookmarkStart w:id="99" w:name="_Toc29230"/>
      <w:bookmarkStart w:id="100" w:name="_Toc2835"/>
      <w:bookmarkStart w:id="101" w:name="_Toc1723311911"/>
      <w:bookmarkStart w:id="102" w:name="_Toc1586206539"/>
      <w:bookmarkStart w:id="103" w:name="_Toc452210381"/>
      <w:bookmarkStart w:id="104" w:name="_Toc1996099823"/>
      <w:bookmarkStart w:id="105" w:name="_Toc2099817111"/>
      <w:bookmarkStart w:id="106" w:name="_Toc487739057"/>
      <w:bookmarkStart w:id="107" w:name="_Toc2796383"/>
      <w:bookmarkStart w:id="108" w:name="_Toc102747560"/>
      <w:bookmarkStart w:id="109" w:name="_Toc5793"/>
      <w:bookmarkStart w:id="110" w:name="_Toc17357"/>
      <w:bookmarkStart w:id="111" w:name="_Toc7124"/>
      <w:bookmarkStart w:id="112" w:name="_Toc5209"/>
      <w:bookmarkStart w:id="113" w:name="_Toc11662"/>
      <w:bookmarkStart w:id="114" w:name="_Toc211153989"/>
      <w:r>
        <w:rPr>
          <w:rFonts w:hint="eastAsia"/>
          <w:color w:val="000000" w:themeColor="text1"/>
          <w14:textFill>
            <w14:solidFill>
              <w14:schemeClr w14:val="tx1"/>
            </w14:solidFill>
          </w14:textFill>
        </w:rPr>
        <w:t xml:space="preserve">第三节 </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color w:val="000000" w:themeColor="text1"/>
          <w14:textFill>
            <w14:solidFill>
              <w14:schemeClr w14:val="tx1"/>
            </w14:solidFill>
          </w14:textFill>
        </w:rPr>
        <w:t>发展定位</w:t>
      </w:r>
      <w:bookmarkEnd w:id="111"/>
      <w:bookmarkEnd w:id="112"/>
      <w:bookmarkEnd w:id="113"/>
      <w:bookmarkEnd w:id="114"/>
    </w:p>
    <w:p w14:paraId="20208392">
      <w:pPr>
        <w:adjustRightInd w:val="0"/>
        <w:snapToGrid w:val="0"/>
        <w:spacing w:line="600" w:lineRule="exact"/>
        <w:ind w:firstLine="640"/>
        <w:rPr>
          <w:rFonts w:hint="default" w:ascii="仿宋_GB2312" w:hAnsi="仿宋_GB2312" w:eastAsia="仿宋_GB2312" w:cs="仿宋_GB2312"/>
          <w:b w:val="0"/>
          <w:bCs w:val="0"/>
          <w:lang w:val="en-US" w:eastAsia="zh-CN"/>
        </w:rPr>
      </w:pPr>
      <w:r>
        <w:rPr>
          <w:rFonts w:hint="eastAsia" w:ascii="仿宋_GB2312" w:hAnsi="仿宋_GB2312" w:eastAsia="仿宋_GB2312" w:cs="仿宋_GB2312"/>
          <w:lang w:val="en-US" w:eastAsia="zh-CN"/>
        </w:rPr>
        <w:t>依据</w:t>
      </w:r>
      <w:r>
        <w:rPr>
          <w:rFonts w:hint="eastAsia" w:ascii="仿宋_GB2312" w:hAnsi="仿宋_GB2312" w:cs="仿宋_GB2312"/>
          <w:lang w:val="en-US" w:eastAsia="zh-CN"/>
        </w:rPr>
        <w:t>我区所处区位优势、产业基础和资源禀赋，确定“十五五”时期发展的总体定位</w:t>
      </w:r>
      <w:r>
        <w:rPr>
          <w:rFonts w:hint="eastAsia" w:hAnsi="仿宋_GB2312" w:cs="仿宋_GB2312"/>
          <w:lang w:val="en-US" w:eastAsia="zh-CN"/>
        </w:rPr>
        <w:t>是</w:t>
      </w:r>
      <w:r>
        <w:rPr>
          <w:rFonts w:hint="eastAsia" w:ascii="仿宋_GB2312" w:hAnsi="仿宋_GB2312" w:eastAsia="仿宋_GB2312" w:cs="仿宋_GB2312"/>
          <w:b w:val="0"/>
          <w:bCs w:val="0"/>
          <w:lang w:val="en-US" w:eastAsia="zh-CN"/>
        </w:rPr>
        <w:t>建设</w:t>
      </w:r>
      <w:r>
        <w:rPr>
          <w:rFonts w:hint="eastAsia" w:ascii="仿宋_GB2312" w:hAnsi="仿宋_GB2312" w:eastAsia="仿宋_GB2312" w:cs="仿宋_GB2312"/>
          <w:b w:val="0"/>
          <w:bCs w:val="0"/>
        </w:rPr>
        <w:t>长春北部现代核心区</w:t>
      </w:r>
      <w:r>
        <w:rPr>
          <w:rFonts w:hint="eastAsia" w:hAnsi="仿宋_GB2312" w:cs="仿宋_GB2312"/>
          <w:b w:val="0"/>
          <w:bCs w:val="0"/>
          <w:lang w:eastAsia="zh-CN"/>
        </w:rPr>
        <w:t>。</w:t>
      </w:r>
      <w:r>
        <w:rPr>
          <w:rFonts w:hint="eastAsia" w:hAnsi="仿宋_GB2312" w:cs="仿宋_GB2312"/>
          <w:b w:val="0"/>
          <w:bCs w:val="0"/>
          <w:lang w:val="en-US" w:eastAsia="zh-CN"/>
        </w:rPr>
        <w:t>重点</w:t>
      </w:r>
      <w:r>
        <w:rPr>
          <w:rFonts w:hint="eastAsia" w:ascii="仿宋_GB2312" w:hAnsi="仿宋_GB2312" w:eastAsia="仿宋_GB2312" w:cs="仿宋_GB2312"/>
          <w:b w:val="0"/>
          <w:bCs w:val="0"/>
        </w:rPr>
        <w:t>打造长春历史文化保护利用核心区</w:t>
      </w:r>
      <w:r>
        <w:rPr>
          <w:rFonts w:hint="eastAsia" w:hAnsi="仿宋_GB2312" w:cs="仿宋_GB2312"/>
          <w:b w:val="0"/>
          <w:bCs w:val="0"/>
          <w:lang w:eastAsia="zh-CN"/>
        </w:rPr>
        <w:t>、</w:t>
      </w:r>
      <w:r>
        <w:rPr>
          <w:rFonts w:hint="eastAsia" w:ascii="仿宋_GB2312" w:hAnsi="仿宋_GB2312" w:eastAsia="仿宋_GB2312" w:cs="仿宋_GB2312"/>
          <w:b w:val="0"/>
          <w:bCs w:val="0"/>
        </w:rPr>
        <w:t>长春制造业转型升级重点区</w:t>
      </w:r>
      <w:r>
        <w:rPr>
          <w:rFonts w:hint="eastAsia" w:hAnsi="仿宋_GB2312" w:cs="仿宋_GB2312"/>
          <w:b w:val="0"/>
          <w:bCs w:val="0"/>
          <w:lang w:eastAsia="zh-CN"/>
        </w:rPr>
        <w:t>、</w:t>
      </w:r>
      <w:r>
        <w:rPr>
          <w:rFonts w:hint="eastAsia" w:ascii="仿宋_GB2312" w:hAnsi="仿宋_GB2312" w:eastAsia="仿宋_GB2312" w:cs="仿宋_GB2312"/>
          <w:b w:val="0"/>
          <w:bCs w:val="0"/>
        </w:rPr>
        <w:t>长春生产和生活型物流集散区</w:t>
      </w:r>
      <w:r>
        <w:rPr>
          <w:rFonts w:hint="eastAsia" w:hAnsi="仿宋_GB2312" w:cs="仿宋_GB2312"/>
          <w:b w:val="0"/>
          <w:bCs w:val="0"/>
          <w:lang w:eastAsia="zh-CN"/>
        </w:rPr>
        <w:t>、</w:t>
      </w:r>
      <w:r>
        <w:rPr>
          <w:rFonts w:hint="eastAsia" w:ascii="仿宋_GB2312" w:hAnsi="仿宋_GB2312" w:eastAsia="仿宋_GB2312" w:cs="仿宋_GB2312"/>
          <w:b w:val="0"/>
          <w:bCs w:val="0"/>
        </w:rPr>
        <w:t>长春外来人口转移承载区</w:t>
      </w:r>
      <w:r>
        <w:rPr>
          <w:rFonts w:hint="eastAsia" w:ascii="仿宋_GB2312" w:hAnsi="仿宋_GB2312" w:cs="仿宋_GB2312"/>
          <w:b w:val="0"/>
          <w:bCs w:val="0"/>
          <w:lang w:eastAsia="zh-CN"/>
        </w:rPr>
        <w:t>“</w:t>
      </w:r>
      <w:r>
        <w:rPr>
          <w:rFonts w:hint="eastAsia" w:ascii="仿宋_GB2312" w:hAnsi="仿宋_GB2312" w:cs="仿宋_GB2312"/>
          <w:b w:val="0"/>
          <w:bCs w:val="0"/>
          <w:lang w:val="en-US" w:eastAsia="zh-CN"/>
        </w:rPr>
        <w:t>四个功能区”</w:t>
      </w:r>
      <w:r>
        <w:rPr>
          <w:rFonts w:hint="eastAsia" w:hAnsi="仿宋_GB2312" w:cs="仿宋_GB2312"/>
          <w:b w:val="0"/>
          <w:bCs w:val="0"/>
          <w:lang w:eastAsia="zh-CN"/>
        </w:rPr>
        <w:t>。</w:t>
      </w:r>
    </w:p>
    <w:p w14:paraId="6817BCF2">
      <w:pPr>
        <w:pStyle w:val="3"/>
        <w:bidi w:val="0"/>
        <w:ind w:firstLine="0" w:firstLineChars="0"/>
        <w:outlineLvl w:val="1"/>
        <w:rPr>
          <w:rFonts w:hint="eastAsia"/>
          <w:color w:val="000000" w:themeColor="text1"/>
          <w14:textFill>
            <w14:solidFill>
              <w14:schemeClr w14:val="tx1"/>
            </w14:solidFill>
          </w14:textFill>
        </w:rPr>
      </w:pPr>
      <w:bookmarkStart w:id="115" w:name="_Toc211153990"/>
      <w:bookmarkStart w:id="116" w:name="_Toc22038"/>
      <w:bookmarkStart w:id="117" w:name="_Toc9449"/>
      <w:bookmarkStart w:id="118" w:name="_Toc17072"/>
      <w:r>
        <w:rPr>
          <w:rFonts w:hint="eastAsia"/>
          <w:color w:val="000000" w:themeColor="text1"/>
          <w14:textFill>
            <w14:solidFill>
              <w14:schemeClr w14:val="tx1"/>
            </w14:solidFill>
          </w14:textFill>
        </w:rPr>
        <w:t>第四节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总体要求</w:t>
      </w:r>
      <w:bookmarkEnd w:id="115"/>
      <w:bookmarkEnd w:id="116"/>
      <w:bookmarkEnd w:id="117"/>
      <w:bookmarkEnd w:id="118"/>
    </w:p>
    <w:p w14:paraId="02F16901">
      <w:pPr>
        <w:adjustRightInd w:val="0"/>
        <w:snapToGrid w:val="0"/>
        <w:spacing w:line="600" w:lineRule="exact"/>
        <w:ind w:firstLine="640"/>
        <w:rPr>
          <w:rFonts w:hint="eastAsia" w:ascii="仿宋_GB2312" w:hAnsi="仿宋_GB2312" w:eastAsia="仿宋_GB2312" w:cs="仿宋_GB2312"/>
        </w:rPr>
      </w:pPr>
      <w:r>
        <w:rPr>
          <w:rFonts w:hint="eastAsia" w:ascii="仿宋_GB2312" w:hAnsi="仿宋_GB2312" w:eastAsia="仿宋_GB2312" w:cs="仿宋_GB2312"/>
        </w:rPr>
        <w:t>高举中国特色社会主义伟大旗帜，坚持以习近平新时代中国特色社会主义思想为指导，贯彻落实党的二十大和二十届三中、四中全会精神，深入落实习近平总书记对吉林省工作的重要讲话精神，牢牢把握维护国家“五大安全”重要使命，坚持稳中求进工作总基调，</w:t>
      </w:r>
      <w:r>
        <w:rPr>
          <w:rFonts w:hint="eastAsia" w:hAnsi="仿宋_GB2312" w:cs="仿宋_GB2312"/>
          <w:lang w:val="en-US" w:eastAsia="zh-CN"/>
        </w:rPr>
        <w:t>完整准确</w:t>
      </w:r>
      <w:r>
        <w:rPr>
          <w:rFonts w:hint="eastAsia" w:ascii="仿宋_GB2312" w:hAnsi="仿宋_GB2312" w:eastAsia="仿宋_GB2312" w:cs="仿宋_GB2312"/>
        </w:rPr>
        <w:t>全面贯彻新发展理念，</w:t>
      </w:r>
      <w:r>
        <w:rPr>
          <w:rFonts w:hint="eastAsia" w:hAnsi="仿宋_GB2312" w:cs="仿宋_GB2312"/>
          <w:lang w:val="en-US" w:eastAsia="zh-CN"/>
        </w:rPr>
        <w:t>加快构建新发展格局，</w:t>
      </w:r>
      <w:r>
        <w:rPr>
          <w:rFonts w:hint="eastAsia" w:ascii="仿宋_GB2312" w:hAnsi="仿宋_GB2312" w:eastAsia="仿宋_GB2312" w:cs="仿宋_GB2312"/>
        </w:rPr>
        <w:t>以推动高质量发展为主题，以改革创新为动力，以满足人民日益增长的美好生活需要为目的，着眼推动长春现代化都市圈建设，深入推进“一核引领、两区融合、五业联动”发展战略，走好“工业立区、商业富区、科技兴区、改革强区”之路，以产业转型升级助推经济高质量发展，以改革创新引领社会治理能力现代化，以高品质公共服务满足人民美好生活向往，奋力开创宽城全面振兴突破新局面，基本建成创新引领、产城融合、绿色宜居、开放包容、普惠共享的长春北部现代核心区。</w:t>
      </w:r>
    </w:p>
    <w:p w14:paraId="1AA59DA5">
      <w:pPr>
        <w:spacing w:line="600" w:lineRule="exact"/>
        <w:rPr>
          <w:rFonts w:hint="eastAsia" w:ascii="仿宋_GB2312" w:hAnsi="仿宋_GB2312" w:eastAsia="仿宋_GB2312" w:cs="仿宋_GB2312"/>
        </w:rPr>
      </w:pPr>
      <w:r>
        <w:rPr>
          <w:rFonts w:hint="eastAsia" w:ascii="仿宋_GB2312" w:hAnsi="仿宋_GB2312" w:eastAsia="仿宋_GB2312" w:cs="仿宋_GB2312"/>
          <w:b/>
          <w:bCs/>
        </w:rPr>
        <w:t>——坚持党的全面领导。</w:t>
      </w:r>
      <w:r>
        <w:rPr>
          <w:rFonts w:hint="eastAsia" w:ascii="仿宋_GB2312" w:hAnsi="仿宋_GB2312" w:eastAsia="仿宋_GB2312" w:cs="仿宋_GB2312"/>
        </w:rPr>
        <w:t>深入贯彻党中央决策部署，全面落实新时代党的建设总要求，健全党委统筹发展规划、重大政策、重点项目的领导机制，将党的领导贯穿经济社会发展全过程，提升把握新发展阶段、贯彻新发展理念、构建新发展格局的能力。</w:t>
      </w:r>
    </w:p>
    <w:p w14:paraId="3E0117D8">
      <w:pPr>
        <w:spacing w:line="600" w:lineRule="exact"/>
        <w:rPr>
          <w:rFonts w:hint="eastAsia" w:ascii="仿宋_GB2312" w:hAnsi="仿宋_GB2312" w:eastAsia="仿宋_GB2312" w:cs="仿宋_GB2312"/>
        </w:rPr>
      </w:pPr>
      <w:r>
        <w:rPr>
          <w:rFonts w:hint="eastAsia" w:ascii="仿宋_GB2312" w:hAnsi="仿宋_GB2312" w:eastAsia="仿宋_GB2312" w:cs="仿宋_GB2312"/>
          <w:b/>
          <w:bCs/>
        </w:rPr>
        <w:t>——坚持人民</w:t>
      </w:r>
      <w:r>
        <w:rPr>
          <w:rFonts w:hint="eastAsia" w:hAnsi="仿宋_GB2312" w:cs="仿宋_GB2312"/>
          <w:b/>
          <w:bCs/>
          <w:lang w:val="en-US" w:eastAsia="zh-CN"/>
        </w:rPr>
        <w:t>至上</w:t>
      </w:r>
      <w:r>
        <w:rPr>
          <w:rFonts w:hint="eastAsia" w:ascii="仿宋_GB2312" w:hAnsi="仿宋_GB2312" w:eastAsia="仿宋_GB2312" w:cs="仿宋_GB2312"/>
          <w:b/>
          <w:bCs/>
        </w:rPr>
        <w:t>。</w:t>
      </w:r>
      <w:r>
        <w:rPr>
          <w:rFonts w:hint="eastAsia" w:ascii="仿宋_GB2312" w:hAnsi="仿宋_GB2312" w:eastAsia="仿宋_GB2312" w:cs="仿宋_GB2312"/>
        </w:rPr>
        <w:t>把造福人民作为根本价值取向，坚持在发展中保障和改善民生，聚焦教育、医疗、养老、就业等民生领域，扩大优质公共服务供给，</w:t>
      </w:r>
      <w:r>
        <w:rPr>
          <w:rFonts w:hint="eastAsia" w:hAnsi="仿宋_GB2312" w:cs="仿宋_GB2312"/>
          <w:lang w:val="en-US" w:eastAsia="zh-CN"/>
        </w:rPr>
        <w:t>提升治理能力现代化</w:t>
      </w:r>
      <w:r>
        <w:rPr>
          <w:rFonts w:hint="eastAsia" w:ascii="仿宋_GB2312" w:hAnsi="仿宋_GB2312" w:eastAsia="仿宋_GB2312" w:cs="仿宋_GB2312"/>
        </w:rPr>
        <w:t>，推动发展成果更充分惠及全体百姓。</w:t>
      </w:r>
    </w:p>
    <w:p w14:paraId="78F21F2A">
      <w:pPr>
        <w:spacing w:line="600" w:lineRule="exact"/>
        <w:rPr>
          <w:rFonts w:hint="default" w:hAnsi="仿宋_GB2312" w:cs="仿宋_GB2312"/>
          <w:lang w:val="en-US" w:eastAsia="zh-CN"/>
        </w:rPr>
      </w:pPr>
      <w:r>
        <w:rPr>
          <w:rFonts w:hint="eastAsia" w:ascii="仿宋_GB2312" w:hAnsi="仿宋_GB2312" w:eastAsia="仿宋_GB2312" w:cs="仿宋_GB2312"/>
          <w:b/>
          <w:bCs/>
        </w:rPr>
        <w:t>——坚持</w:t>
      </w:r>
      <w:r>
        <w:rPr>
          <w:rFonts w:hint="eastAsia" w:hAnsi="仿宋_GB2312" w:cs="仿宋_GB2312"/>
          <w:b/>
          <w:bCs/>
          <w:lang w:val="en-US" w:eastAsia="zh-CN"/>
        </w:rPr>
        <w:t>高质量</w:t>
      </w:r>
      <w:r>
        <w:rPr>
          <w:rFonts w:hint="eastAsia" w:ascii="仿宋_GB2312" w:hAnsi="仿宋_GB2312" w:eastAsia="仿宋_GB2312" w:cs="仿宋_GB2312"/>
          <w:b/>
          <w:bCs/>
        </w:rPr>
        <w:t>发展。</w:t>
      </w:r>
      <w:r>
        <w:rPr>
          <w:rFonts w:hint="eastAsia" w:hAnsi="仿宋_GB2312" w:cs="仿宋_GB2312"/>
          <w:b w:val="0"/>
          <w:bCs w:val="0"/>
          <w:lang w:val="en-US" w:eastAsia="zh-CN"/>
        </w:rPr>
        <w:t>以新发展理念引领发展，将</w:t>
      </w:r>
      <w:r>
        <w:rPr>
          <w:rFonts w:hint="eastAsia" w:ascii="仿宋_GB2312" w:hAnsi="仿宋_GB2312" w:eastAsia="仿宋_GB2312" w:cs="仿宋_GB2312"/>
        </w:rPr>
        <w:t>创新、协调、绿色、开放、共享理念</w:t>
      </w:r>
      <w:r>
        <w:rPr>
          <w:rFonts w:hint="eastAsia" w:hAnsi="仿宋_GB2312" w:cs="仿宋_GB2312"/>
          <w:lang w:val="en-US" w:eastAsia="zh-CN"/>
        </w:rPr>
        <w:t>贯穿发展各领域</w:t>
      </w:r>
      <w:r>
        <w:rPr>
          <w:rFonts w:hint="eastAsia" w:ascii="仿宋_GB2312" w:hAnsi="仿宋_GB2312" w:eastAsia="仿宋_GB2312" w:cs="仿宋_GB2312"/>
        </w:rPr>
        <w:t>，</w:t>
      </w:r>
      <w:r>
        <w:rPr>
          <w:rFonts w:hint="eastAsia" w:hAnsi="仿宋_GB2312" w:cs="仿宋_GB2312"/>
          <w:lang w:val="en-US" w:eastAsia="zh-CN"/>
        </w:rPr>
        <w:t>聚焦现代化产业体系，做大做强主导产业，培育发展新质生产力，统筹好经济发展与生态保护的关系，加快发展方式绿色转型，推动经济持续健康发展和社会全面进步。</w:t>
      </w:r>
    </w:p>
    <w:p w14:paraId="72F7C1A3">
      <w:pPr>
        <w:spacing w:line="600" w:lineRule="exact"/>
        <w:rPr>
          <w:rFonts w:hint="default" w:ascii="仿宋_GB2312" w:hAnsi="仿宋_GB2312" w:eastAsia="仿宋_GB2312" w:cs="仿宋_GB2312"/>
          <w:b w:val="0"/>
          <w:bCs w:val="0"/>
          <w:lang w:val="en-US" w:eastAsia="zh-CN"/>
        </w:rPr>
      </w:pPr>
      <w:r>
        <w:rPr>
          <w:rFonts w:hint="eastAsia" w:ascii="仿宋_GB2312" w:hAnsi="仿宋_GB2312" w:eastAsia="仿宋_GB2312" w:cs="仿宋_GB2312"/>
          <w:b/>
          <w:bCs/>
        </w:rPr>
        <w:t>——坚持</w:t>
      </w:r>
      <w:r>
        <w:rPr>
          <w:rFonts w:hint="eastAsia" w:hAnsi="仿宋_GB2312" w:cs="仿宋_GB2312"/>
          <w:b/>
          <w:bCs/>
          <w:lang w:val="en-US" w:eastAsia="zh-CN"/>
        </w:rPr>
        <w:t>全面深化改革</w:t>
      </w:r>
      <w:r>
        <w:rPr>
          <w:rFonts w:hint="eastAsia" w:ascii="仿宋_GB2312" w:hAnsi="仿宋_GB2312" w:eastAsia="仿宋_GB2312" w:cs="仿宋_GB2312"/>
          <w:b/>
          <w:bCs/>
        </w:rPr>
        <w:t>。</w:t>
      </w:r>
      <w:r>
        <w:rPr>
          <w:rFonts w:hint="eastAsia" w:hAnsi="仿宋_GB2312" w:cs="仿宋_GB2312"/>
          <w:b w:val="0"/>
          <w:bCs w:val="0"/>
          <w:lang w:val="en-US" w:eastAsia="zh-CN"/>
        </w:rPr>
        <w:t>深化经济体制、科技体制、社会治理等重点领域改革，着力破除制约高质量发展的体制机制障碍，扩大高水平开放，畅通对内对外开放通道，为宽城振兴发展提升内生动力、拓展合作空间。</w:t>
      </w:r>
    </w:p>
    <w:p w14:paraId="385998E8">
      <w:pPr>
        <w:spacing w:line="600" w:lineRule="exact"/>
        <w:rPr>
          <w:rFonts w:hint="default" w:hAnsi="仿宋_GB2312" w:cs="仿宋_GB2312"/>
          <w:b w:val="0"/>
          <w:bCs w:val="0"/>
          <w:lang w:val="en-US" w:eastAsia="zh-CN"/>
        </w:rPr>
      </w:pPr>
      <w:r>
        <w:rPr>
          <w:rFonts w:hint="eastAsia" w:ascii="仿宋_GB2312" w:hAnsi="仿宋_GB2312" w:eastAsia="仿宋_GB2312" w:cs="仿宋_GB2312"/>
          <w:b/>
          <w:bCs/>
        </w:rPr>
        <w:t>——</w:t>
      </w:r>
      <w:r>
        <w:rPr>
          <w:rFonts w:hint="eastAsia" w:hAnsi="仿宋_GB2312" w:cs="仿宋_GB2312"/>
          <w:b/>
          <w:bCs/>
          <w:lang w:val="en-US" w:eastAsia="zh-CN"/>
        </w:rPr>
        <w:t>坚持有效市场和有为政府相结合。</w:t>
      </w:r>
      <w:r>
        <w:rPr>
          <w:rFonts w:hint="eastAsia" w:hAnsi="仿宋_GB2312" w:cs="仿宋_GB2312"/>
          <w:b w:val="0"/>
          <w:bCs w:val="0"/>
          <w:lang w:val="en-US" w:eastAsia="zh-CN"/>
        </w:rPr>
        <w:t>充分发挥市场在资源配置中的决定性作用，深化要素市场化配置改革，最大限度地激发各类市场主体发展动力和创新活力，创新公共服务、市场监管、社会管理、环境保护等职能，打造市场化、法治化、国际化一流营商环境。</w:t>
      </w:r>
    </w:p>
    <w:p w14:paraId="3C633A8B">
      <w:pPr>
        <w:spacing w:line="600" w:lineRule="exact"/>
        <w:rPr>
          <w:rFonts w:hint="default" w:ascii="仿宋_GB2312" w:hAnsi="仿宋_GB2312" w:eastAsia="仿宋_GB2312" w:cs="仿宋_GB2312"/>
          <w:highlight w:val="none"/>
          <w:lang w:val="en-US" w:eastAsia="zh-CN"/>
        </w:rPr>
      </w:pPr>
      <w:r>
        <w:rPr>
          <w:rFonts w:hint="eastAsia" w:ascii="仿宋_GB2312" w:hAnsi="仿宋_GB2312" w:eastAsia="仿宋_GB2312" w:cs="仿宋_GB2312"/>
          <w:b/>
          <w:bCs/>
          <w:highlight w:val="none"/>
        </w:rPr>
        <w:t>——坚持</w:t>
      </w:r>
      <w:r>
        <w:rPr>
          <w:rFonts w:hint="eastAsia" w:ascii="仿宋_GB2312" w:hAnsi="仿宋_GB2312" w:eastAsia="仿宋_GB2312" w:cs="仿宋_GB2312"/>
          <w:b/>
          <w:bCs/>
          <w:highlight w:val="none"/>
          <w:lang w:val="en-US" w:eastAsia="zh-CN"/>
        </w:rPr>
        <w:t>统筹</w:t>
      </w:r>
      <w:r>
        <w:rPr>
          <w:rFonts w:hint="eastAsia" w:ascii="仿宋_GB2312" w:hAnsi="仿宋_GB2312" w:eastAsia="仿宋_GB2312" w:cs="仿宋_GB2312"/>
          <w:b/>
          <w:bCs/>
          <w:highlight w:val="none"/>
        </w:rPr>
        <w:t>发展</w:t>
      </w:r>
      <w:r>
        <w:rPr>
          <w:rFonts w:hint="eastAsia" w:hAnsi="仿宋_GB2312" w:cs="仿宋_GB2312"/>
          <w:b/>
          <w:bCs/>
          <w:highlight w:val="none"/>
          <w:lang w:val="en-US" w:eastAsia="zh-CN"/>
        </w:rPr>
        <w:t>和</w:t>
      </w:r>
      <w:r>
        <w:rPr>
          <w:rFonts w:hint="eastAsia" w:ascii="仿宋_GB2312" w:hAnsi="仿宋_GB2312" w:eastAsia="仿宋_GB2312" w:cs="仿宋_GB2312"/>
          <w:b/>
          <w:bCs/>
          <w:highlight w:val="none"/>
        </w:rPr>
        <w:t>安全。</w:t>
      </w:r>
      <w:r>
        <w:rPr>
          <w:rFonts w:hint="eastAsia" w:hAnsi="仿宋_GB2312" w:cs="仿宋_GB2312"/>
          <w:highlight w:val="none"/>
          <w:lang w:val="en-US" w:eastAsia="zh-CN"/>
        </w:rPr>
        <w:t>将安全发展贯穿经济社会发展各领域全过程，维护粮食、能源和金融等领域安全，积极有效</w:t>
      </w:r>
      <w:r>
        <w:rPr>
          <w:rFonts w:hint="eastAsia" w:ascii="仿宋_GB2312" w:hAnsi="仿宋_GB2312" w:eastAsia="仿宋_GB2312" w:cs="仿宋_GB2312"/>
          <w:highlight w:val="none"/>
        </w:rPr>
        <w:t>防范化解</w:t>
      </w:r>
      <w:r>
        <w:rPr>
          <w:rFonts w:hint="eastAsia" w:hAnsi="仿宋_GB2312" w:cs="仿宋_GB2312"/>
          <w:highlight w:val="none"/>
          <w:lang w:val="en-US" w:eastAsia="zh-CN"/>
        </w:rPr>
        <w:t>各类</w:t>
      </w:r>
      <w:r>
        <w:rPr>
          <w:rFonts w:hint="eastAsia" w:ascii="仿宋_GB2312" w:hAnsi="仿宋_GB2312" w:eastAsia="仿宋_GB2312" w:cs="仿宋_GB2312"/>
          <w:highlight w:val="none"/>
        </w:rPr>
        <w:t>风险</w:t>
      </w:r>
      <w:r>
        <w:rPr>
          <w:rFonts w:hint="eastAsia" w:hAnsi="仿宋_GB2312" w:cs="仿宋_GB2312"/>
          <w:highlight w:val="none"/>
          <w:lang w:eastAsia="zh-CN"/>
        </w:rPr>
        <w:t>，</w:t>
      </w:r>
      <w:r>
        <w:rPr>
          <w:rFonts w:hint="eastAsia" w:hAnsi="仿宋_GB2312" w:cs="仿宋_GB2312"/>
          <w:highlight w:val="none"/>
          <w:lang w:val="en-US" w:eastAsia="zh-CN"/>
        </w:rPr>
        <w:t>提高防灾减灾救灾和应急处置能力，以高水平安全保障高质量发展。</w:t>
      </w:r>
    </w:p>
    <w:p w14:paraId="3B9D7363">
      <w:pPr>
        <w:pStyle w:val="3"/>
        <w:spacing w:before="156" w:after="156" w:line="600" w:lineRule="exact"/>
        <w:ind w:firstLine="0" w:firstLineChars="0"/>
        <w:outlineLvl w:val="1"/>
        <w:rPr>
          <w:rFonts w:hint="eastAsia" w:ascii="仿宋_GB2312" w:hAnsi="仿宋_GB2312" w:eastAsia="仿宋_GB2312" w:cs="仿宋_GB2312"/>
          <w:color w:val="000000" w:themeColor="text1"/>
          <w14:textFill>
            <w14:solidFill>
              <w14:schemeClr w14:val="tx1"/>
            </w14:solidFill>
          </w14:textFill>
        </w:rPr>
      </w:pPr>
      <w:bookmarkStart w:id="119" w:name="_Toc13644"/>
      <w:bookmarkStart w:id="120" w:name="_Toc15026"/>
      <w:bookmarkStart w:id="121" w:name="_Toc27188"/>
      <w:bookmarkStart w:id="122" w:name="_Toc211153991"/>
      <w:r>
        <w:rPr>
          <w:rFonts w:hint="eastAsia"/>
          <w:color w:val="000000" w:themeColor="text1"/>
          <w14:textFill>
            <w14:solidFill>
              <w14:schemeClr w14:val="tx1"/>
            </w14:solidFill>
          </w14:textFill>
        </w:rPr>
        <w:t>第五节 发展目标</w:t>
      </w:r>
      <w:bookmarkEnd w:id="119"/>
      <w:bookmarkEnd w:id="120"/>
      <w:bookmarkEnd w:id="121"/>
      <w:bookmarkEnd w:id="122"/>
    </w:p>
    <w:p w14:paraId="68ACCDA6">
      <w:pPr>
        <w:ind w:firstLine="640"/>
        <w:rPr>
          <w:rFonts w:hint="eastAsia"/>
          <w:color w:val="000000" w:themeColor="text1"/>
          <w14:textFill>
            <w14:solidFill>
              <w14:schemeClr w14:val="tx1"/>
            </w14:solidFill>
          </w14:textFill>
        </w:rPr>
      </w:pPr>
      <w:r>
        <w:rPr>
          <w:rFonts w:hint="eastAsia" w:ascii="仿宋_GB2312" w:hAnsi="仿宋_GB2312" w:eastAsia="仿宋_GB2312" w:cs="仿宋_GB2312"/>
        </w:rPr>
        <w:t>到2030年，基本建成长春北部现代核心区</w:t>
      </w:r>
      <w:r>
        <w:rPr>
          <w:rFonts w:hint="eastAsia" w:ascii="仿宋_GB2312" w:hAnsi="仿宋_GB2312" w:eastAsia="仿宋_GB2312" w:cs="仿宋_GB2312"/>
          <w:lang w:eastAsia="zh-CN"/>
        </w:rPr>
        <w:t>。</w:t>
      </w:r>
      <w:r>
        <w:rPr>
          <w:rFonts w:hint="eastAsia" w:ascii="仿宋_GB2312" w:hAnsi="仿宋_GB2312" w:eastAsia="仿宋_GB2312" w:cs="仿宋_GB2312"/>
        </w:rPr>
        <w:t>实现</w:t>
      </w:r>
      <w:r>
        <w:rPr>
          <w:rFonts w:hint="eastAsia" w:ascii="仿宋_GB2312" w:hAnsi="仿宋_GB2312" w:eastAsia="仿宋_GB2312" w:cs="仿宋_GB2312"/>
          <w:b w:val="0"/>
          <w:bCs w:val="0"/>
        </w:rPr>
        <w:t>综合能级实现新</w:t>
      </w:r>
      <w:r>
        <w:rPr>
          <w:rFonts w:hint="eastAsia" w:hAnsi="仿宋_GB2312" w:cs="仿宋_GB2312"/>
          <w:b w:val="0"/>
          <w:bCs w:val="0"/>
          <w:lang w:val="en-US" w:eastAsia="zh-CN"/>
        </w:rPr>
        <w:t>提升、</w:t>
      </w:r>
      <w:r>
        <w:rPr>
          <w:rFonts w:hint="eastAsia" w:ascii="仿宋_GB2312" w:hAnsi="仿宋_GB2312" w:eastAsia="仿宋_GB2312" w:cs="仿宋_GB2312"/>
          <w:b w:val="0"/>
          <w:bCs w:val="0"/>
        </w:rPr>
        <w:t>创新引领实现新</w:t>
      </w:r>
      <w:r>
        <w:rPr>
          <w:rFonts w:hint="eastAsia" w:hAnsi="仿宋_GB2312" w:cs="仿宋_GB2312"/>
          <w:b w:val="0"/>
          <w:bCs w:val="0"/>
          <w:lang w:val="en-US" w:eastAsia="zh-CN"/>
        </w:rPr>
        <w:t>提升、</w:t>
      </w:r>
      <w:r>
        <w:rPr>
          <w:rFonts w:hint="eastAsia" w:eastAsia="仿宋_GB2312"/>
          <w:b w:val="0"/>
          <w:bCs w:val="0"/>
          <w:lang w:bidi="ar"/>
        </w:rPr>
        <w:t>改革开放实现新</w:t>
      </w:r>
      <w:r>
        <w:rPr>
          <w:rFonts w:hint="eastAsia"/>
          <w:b w:val="0"/>
          <w:bCs w:val="0"/>
          <w:lang w:val="en-US" w:eastAsia="zh-CN" w:bidi="ar"/>
        </w:rPr>
        <w:t>提升、城市环境</w:t>
      </w:r>
      <w:r>
        <w:rPr>
          <w:rFonts w:hint="eastAsia" w:ascii="仿宋_GB2312" w:hAnsi="仿宋_GB2312" w:eastAsia="仿宋_GB2312" w:cs="仿宋_GB2312"/>
          <w:b w:val="0"/>
          <w:bCs w:val="0"/>
          <w:lang w:bidi="ar"/>
        </w:rPr>
        <w:t>实现新</w:t>
      </w:r>
      <w:r>
        <w:rPr>
          <w:rFonts w:hint="eastAsia" w:hAnsi="仿宋_GB2312" w:cs="仿宋_GB2312"/>
          <w:b w:val="0"/>
          <w:bCs w:val="0"/>
          <w:lang w:val="en-US" w:eastAsia="zh-CN" w:bidi="ar"/>
        </w:rPr>
        <w:t>提升、</w:t>
      </w:r>
      <w:r>
        <w:rPr>
          <w:rFonts w:hint="eastAsia" w:ascii="仿宋_GB2312" w:hAnsi="仿宋_GB2312" w:eastAsia="仿宋_GB2312" w:cs="仿宋_GB2312"/>
          <w:b w:val="0"/>
          <w:bCs w:val="0"/>
          <w:lang w:bidi="ar"/>
        </w:rPr>
        <w:t>民生福祉实现新</w:t>
      </w:r>
      <w:r>
        <w:rPr>
          <w:rFonts w:hint="eastAsia" w:hAnsi="仿宋_GB2312" w:cs="仿宋_GB2312"/>
          <w:b w:val="0"/>
          <w:bCs w:val="0"/>
          <w:lang w:val="en-US" w:eastAsia="zh-CN" w:bidi="ar"/>
        </w:rPr>
        <w:t>提升、</w:t>
      </w:r>
      <w:r>
        <w:rPr>
          <w:rFonts w:hint="eastAsia" w:eastAsia="仿宋_GB2312"/>
          <w:b w:val="0"/>
          <w:bCs w:val="0"/>
          <w:highlight w:val="none"/>
          <w:lang w:bidi="ar"/>
        </w:rPr>
        <w:t>治理能效实现新</w:t>
      </w:r>
      <w:r>
        <w:rPr>
          <w:rFonts w:hint="eastAsia"/>
          <w:b w:val="0"/>
          <w:bCs w:val="0"/>
          <w:highlight w:val="none"/>
          <w:lang w:val="en-US" w:eastAsia="zh-CN" w:bidi="ar"/>
        </w:rPr>
        <w:t>提升</w:t>
      </w:r>
      <w:r>
        <w:rPr>
          <w:rFonts w:hint="eastAsia" w:ascii="仿宋_GB2312" w:hAnsi="仿宋_GB2312" w:eastAsia="仿宋_GB2312" w:cs="仿宋_GB2312"/>
        </w:rPr>
        <w:t>“六个新</w:t>
      </w:r>
      <w:r>
        <w:rPr>
          <w:rFonts w:hint="eastAsia" w:hAnsi="仿宋_GB2312" w:cs="仿宋_GB2312"/>
          <w:lang w:val="en-US" w:eastAsia="zh-CN"/>
        </w:rPr>
        <w:t>提升</w:t>
      </w:r>
      <w:r>
        <w:rPr>
          <w:rFonts w:hint="eastAsia" w:ascii="仿宋_GB2312" w:hAnsi="仿宋_GB2312" w:eastAsia="仿宋_GB2312" w:cs="仿宋_GB2312"/>
        </w:rPr>
        <w:t>”</w:t>
      </w:r>
      <w:r>
        <w:rPr>
          <w:rFonts w:hint="eastAsia" w:hAnsi="仿宋_GB2312" w:cs="仿宋_GB2312"/>
          <w:lang w:eastAsia="zh-CN"/>
        </w:rPr>
        <w:t>。</w:t>
      </w:r>
    </w:p>
    <w:p w14:paraId="0D1A9841">
      <w:pPr>
        <w:pStyle w:val="2"/>
        <w:spacing w:before="312" w:after="312" w:line="600" w:lineRule="exact"/>
        <w:rPr>
          <w:rFonts w:hint="eastAsia" w:ascii="仿宋_GB2312" w:hAnsi="仿宋_GB2312" w:eastAsia="仿宋_GB2312" w:cs="仿宋_GB2312"/>
          <w:color w:val="000000" w:themeColor="text1"/>
          <w14:textFill>
            <w14:solidFill>
              <w14:schemeClr w14:val="tx1"/>
            </w14:solidFill>
          </w14:textFill>
        </w:rPr>
      </w:pPr>
      <w:bookmarkStart w:id="123" w:name="_Toc19483"/>
      <w:r>
        <w:rPr>
          <w:rFonts w:hint="eastAsia"/>
          <w:color w:val="000000" w:themeColor="text1"/>
          <w14:textFill>
            <w14:solidFill>
              <w14:schemeClr w14:val="tx1"/>
            </w14:solidFill>
          </w14:textFill>
        </w:rPr>
        <w:t>第二章 服务都市圈建设，</w:t>
      </w:r>
      <w:r>
        <w:rPr>
          <w:rFonts w:hint="eastAsia"/>
          <w:color w:val="000000" w:themeColor="text1"/>
          <w:lang w:val="en-US" w:eastAsia="zh-CN"/>
          <w14:textFill>
            <w14:solidFill>
              <w14:schemeClr w14:val="tx1"/>
            </w14:solidFill>
          </w14:textFill>
        </w:rPr>
        <w:t>打造长春</w:t>
      </w:r>
      <w:r>
        <w:rPr>
          <w:rFonts w:hint="eastAsia"/>
          <w:color w:val="000000" w:themeColor="text1"/>
          <w14:textFill>
            <w14:solidFill>
              <w14:schemeClr w14:val="tx1"/>
            </w14:solidFill>
          </w14:textFill>
        </w:rPr>
        <w:t>北部</w:t>
      </w:r>
      <w:r>
        <w:rPr>
          <w:rFonts w:hint="eastAsia"/>
          <w:color w:val="000000" w:themeColor="text1"/>
          <w:lang w:val="en-US" w:eastAsia="zh-CN"/>
          <w14:textFill>
            <w14:solidFill>
              <w14:schemeClr w14:val="tx1"/>
            </w14:solidFill>
          </w14:textFill>
        </w:rPr>
        <w:t>现代</w:t>
      </w:r>
      <w:r>
        <w:rPr>
          <w:rFonts w:hint="eastAsia"/>
          <w:color w:val="000000" w:themeColor="text1"/>
          <w14:textFill>
            <w14:solidFill>
              <w14:schemeClr w14:val="tx1"/>
            </w14:solidFill>
          </w14:textFill>
        </w:rPr>
        <w:t>核心</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hint="eastAsia"/>
          <w:color w:val="000000" w:themeColor="text1"/>
          <w:lang w:val="en-US" w:eastAsia="zh-CN"/>
          <w14:textFill>
            <w14:solidFill>
              <w14:schemeClr w14:val="tx1"/>
            </w14:solidFill>
          </w14:textFill>
        </w:rPr>
        <w:t>区</w:t>
      </w:r>
      <w:bookmarkEnd w:id="43"/>
      <w:bookmarkEnd w:id="123"/>
    </w:p>
    <w:bookmarkEnd w:id="44"/>
    <w:p w14:paraId="490C545E">
      <w:pPr>
        <w:adjustRightInd w:val="0"/>
        <w:snapToGrid w:val="0"/>
        <w:spacing w:line="600" w:lineRule="exact"/>
        <w:ind w:firstLine="640"/>
        <w:rPr>
          <w:rFonts w:hint="eastAsia" w:ascii="仿宋_GB2312" w:hAnsi="仿宋_GB2312" w:eastAsia="仿宋_GB2312" w:cs="仿宋_GB2312"/>
        </w:rPr>
      </w:pPr>
      <w:bookmarkStart w:id="124" w:name="_Toc11721"/>
      <w:bookmarkStart w:id="125" w:name="_Toc211153997"/>
      <w:bookmarkStart w:id="126" w:name="_Toc28465"/>
      <w:bookmarkStart w:id="127" w:name="_Toc1452"/>
      <w:r>
        <w:rPr>
          <w:rFonts w:hint="eastAsia" w:ascii="仿宋_GB2312" w:hAnsi="仿宋_GB2312" w:eastAsia="仿宋_GB2312" w:cs="仿宋_GB2312"/>
        </w:rPr>
        <w:t>围绕落实长春现代化都市圈建设总体布局，立足建设长春北部现代核心区目标定位，完善城市功能空间布局，打造长春现代化都市圈北部核心支点。</w:t>
      </w:r>
      <w:bookmarkStart w:id="128" w:name="_Toc5562"/>
      <w:bookmarkStart w:id="129" w:name="_Toc211153994"/>
      <w:bookmarkStart w:id="130" w:name="_Toc206"/>
    </w:p>
    <w:p w14:paraId="67CC0806">
      <w:pPr>
        <w:pStyle w:val="3"/>
        <w:bidi w:val="0"/>
        <w:ind w:firstLine="0" w:firstLineChars="0"/>
        <w:outlineLvl w:val="1"/>
        <w:rPr>
          <w:rFonts w:hint="eastAsia"/>
        </w:rPr>
      </w:pPr>
      <w:bookmarkStart w:id="131" w:name="_Toc25598"/>
      <w:bookmarkStart w:id="132" w:name="_Toc19869"/>
      <w:r>
        <w:rPr>
          <w:rFonts w:hint="eastAsia"/>
        </w:rPr>
        <w:t>第一节</w:t>
      </w:r>
      <w:r>
        <w:t xml:space="preserve"> </w:t>
      </w:r>
      <w:r>
        <w:rPr>
          <w:rFonts w:hint="eastAsia"/>
        </w:rPr>
        <w:t>支撑长春现代</w:t>
      </w:r>
      <w:r>
        <w:rPr>
          <w:rFonts w:hint="eastAsia"/>
          <w:lang w:val="en-US" w:eastAsia="zh-CN"/>
        </w:rPr>
        <w:t>化</w:t>
      </w:r>
      <w:r>
        <w:rPr>
          <w:rFonts w:hint="eastAsia"/>
        </w:rPr>
        <w:t>都市圈</w:t>
      </w:r>
      <w:bookmarkEnd w:id="128"/>
      <w:r>
        <w:rPr>
          <w:rFonts w:hint="eastAsia"/>
        </w:rPr>
        <w:t>建设</w:t>
      </w:r>
      <w:bookmarkEnd w:id="129"/>
      <w:bookmarkEnd w:id="130"/>
      <w:bookmarkEnd w:id="131"/>
      <w:bookmarkEnd w:id="132"/>
    </w:p>
    <w:p w14:paraId="6F49EB73">
      <w:pPr>
        <w:keepNext w:val="0"/>
        <w:keepLines w:val="0"/>
        <w:pageBreakBefore w:val="0"/>
        <w:pBdr>
          <w:bottom w:val="single" w:color="FFFFFF" w:sz="4" w:space="24"/>
        </w:pBdr>
        <w:kinsoku/>
        <w:wordWrap/>
        <w:overflowPunct w:val="0"/>
        <w:topLinePunct w:val="0"/>
        <w:autoSpaceDE w:val="0"/>
        <w:autoSpaceDN w:val="0"/>
        <w:bidi w:val="0"/>
        <w:spacing w:line="600" w:lineRule="exact"/>
        <w:ind w:firstLine="643" w:firstLineChars="200"/>
        <w:textAlignment w:val="auto"/>
        <w:rPr>
          <w:rFonts w:hint="eastAsia" w:ascii="Times New Roman" w:hAnsi="Times New Roman" w:eastAsia="楷体_GB2312" w:cs="Times New Roman"/>
          <w:b/>
          <w:szCs w:val="32"/>
          <w:lang w:val="en-US" w:eastAsia="zh-CN"/>
        </w:rPr>
      </w:pPr>
      <w:r>
        <w:rPr>
          <w:rFonts w:hint="eastAsia" w:ascii="仿宋_GB2312" w:hAnsi="仿宋_GB2312" w:eastAsia="仿宋_GB2312" w:cs="仿宋_GB2312"/>
          <w:b/>
          <w:bCs/>
          <w:lang w:val="en-US" w:eastAsia="zh-CN"/>
        </w:rPr>
        <w:t>支撑都市圈“一中心”引领。</w:t>
      </w:r>
      <w:r>
        <w:rPr>
          <w:rFonts w:hint="eastAsia" w:ascii="仿宋_GB2312" w:hAnsi="仿宋_GB2312" w:cs="仿宋_GB2312"/>
          <w:color w:val="000000"/>
          <w:sz w:val="32"/>
          <w:szCs w:val="32"/>
          <w:highlight w:val="none"/>
          <w:lang w:val="en-US" w:eastAsia="zh-CN"/>
        </w:rPr>
        <w:t>依托我区的商贸、文旅、科创和城市公共服务等资源优势，分别对接支撑区域经济发展中枢、区域创新策源高地、现代产业协同引擎、公共服务共享平台“四个增长极”</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b/>
          <w:bCs/>
          <w:lang w:val="en-US" w:eastAsia="zh-CN"/>
        </w:rPr>
        <w:t>支撑都市圈“三组团”布局。</w:t>
      </w:r>
      <w:r>
        <w:rPr>
          <w:rFonts w:hint="eastAsia" w:ascii="仿宋_GB2312" w:hAnsi="仿宋_GB2312" w:cs="仿宋_GB2312"/>
          <w:color w:val="000000"/>
          <w:sz w:val="32"/>
          <w:szCs w:val="32"/>
          <w:highlight w:val="none"/>
          <w:lang w:val="en-US" w:eastAsia="zh-CN"/>
        </w:rPr>
        <w:t>依托我区的先进制造业、现代商贸业、农副产品深加工、绿色新能源等产业资源和优势，分别对接支撑长吉、长平、长源组团</w:t>
      </w:r>
      <w:r>
        <w:rPr>
          <w:rFonts w:hint="eastAsia" w:ascii="仿宋_GB2312" w:hAnsi="仿宋_GB2312" w:eastAsia="仿宋_GB2312" w:cs="仿宋_GB2312"/>
          <w:b w:val="0"/>
          <w:bCs w:val="0"/>
          <w:lang w:val="en-US" w:eastAsia="zh-CN"/>
        </w:rPr>
        <w:t>。</w:t>
      </w:r>
      <w:r>
        <w:rPr>
          <w:rFonts w:hint="eastAsia" w:hAnsi="仿宋_GB2312" w:cs="仿宋_GB2312"/>
          <w:b/>
          <w:bCs/>
          <w:lang w:val="en-US" w:eastAsia="zh-CN"/>
        </w:rPr>
        <w:t>支撑都市圈</w:t>
      </w:r>
      <w:r>
        <w:rPr>
          <w:rFonts w:hint="eastAsia" w:ascii="仿宋_GB2312" w:hAnsi="仿宋_GB2312" w:cs="仿宋_GB2312"/>
          <w:b/>
          <w:bCs/>
          <w:color w:val="000000"/>
          <w:sz w:val="32"/>
          <w:szCs w:val="32"/>
          <w:highlight w:val="none"/>
          <w:lang w:val="en-US" w:eastAsia="zh-CN"/>
        </w:rPr>
        <w:t>“五条产业群带”建设，</w:t>
      </w:r>
      <w:r>
        <w:rPr>
          <w:rFonts w:hint="eastAsia" w:ascii="仿宋_GB2312" w:hAnsi="仿宋_GB2312" w:cs="仿宋_GB2312"/>
          <w:color w:val="000000"/>
          <w:sz w:val="32"/>
          <w:szCs w:val="32"/>
          <w:highlight w:val="none"/>
          <w:lang w:val="en-US" w:eastAsia="zh-CN"/>
        </w:rPr>
        <w:t>依托我区历史文化旅游、医药健康、先进制造、农产品精深加工、绿色新能源等产业资源和优势，分别对接支撑四长吉延长等5个方向产业带</w:t>
      </w:r>
      <w:r>
        <w:rPr>
          <w:rFonts w:hint="eastAsia" w:hAnsi="仿宋_GB2312" w:cs="仿宋_GB2312"/>
          <w:color w:val="000000"/>
          <w:sz w:val="32"/>
          <w:szCs w:val="32"/>
          <w:highlight w:val="none"/>
          <w:lang w:val="en-US" w:eastAsia="zh-CN"/>
        </w:rPr>
        <w:t>建设。</w:t>
      </w:r>
      <w:r>
        <w:rPr>
          <w:rFonts w:hint="eastAsia" w:ascii="仿宋_GB2312" w:hAnsi="仿宋_GB2312" w:eastAsia="仿宋_GB2312" w:cs="仿宋_GB2312"/>
          <w:b/>
          <w:bCs/>
        </w:rPr>
        <w:t>支撑都市圈“一廊”协同。</w:t>
      </w:r>
      <w:r>
        <w:rPr>
          <w:rFonts w:hint="eastAsia" w:ascii="仿宋_GB2312" w:hAnsi="仿宋_GB2312" w:cs="仿宋_GB2312"/>
          <w:color w:val="000000"/>
          <w:sz w:val="32"/>
          <w:szCs w:val="32"/>
          <w:highlight w:val="none"/>
          <w:lang w:val="en-US" w:eastAsia="zh-CN"/>
        </w:rPr>
        <w:t>依托加强地区间经贸、科技、文化等领域交流合作，分别对接支撑哈大副省级城市产业合作走廊</w:t>
      </w:r>
      <w:r>
        <w:rPr>
          <w:rFonts w:hint="eastAsia" w:hAnsi="仿宋_GB2312" w:cs="仿宋_GB2312"/>
          <w:color w:val="000000"/>
          <w:sz w:val="32"/>
          <w:szCs w:val="32"/>
          <w:highlight w:val="none"/>
          <w:lang w:val="en-US" w:eastAsia="zh-CN"/>
        </w:rPr>
        <w:t>协同发展</w:t>
      </w:r>
      <w:r>
        <w:rPr>
          <w:rFonts w:hint="eastAsia" w:ascii="仿宋_GB2312" w:hAnsi="仿宋_GB2312" w:cs="仿宋_GB2312"/>
          <w:color w:val="000000"/>
          <w:sz w:val="32"/>
          <w:szCs w:val="32"/>
          <w:highlight w:val="none"/>
          <w:lang w:val="en-US" w:eastAsia="zh-CN"/>
        </w:rPr>
        <w:t>。</w:t>
      </w:r>
    </w:p>
    <w:p w14:paraId="4A3A25B0">
      <w:pPr>
        <w:keepNext w:val="0"/>
        <w:keepLines w:val="0"/>
        <w:pageBreakBefore w:val="0"/>
        <w:widowControl w:val="0"/>
        <w:pBdr>
          <w:bottom w:val="single" w:color="FFFFFF" w:sz="4" w:space="24"/>
        </w:pBdr>
        <w:kinsoku/>
        <w:wordWrap/>
        <w:overflowPunct w:val="0"/>
        <w:topLinePunct w:val="0"/>
        <w:autoSpaceDE w:val="0"/>
        <w:autoSpaceDN w:val="0"/>
        <w:bidi w:val="0"/>
        <w:adjustRightInd/>
        <w:snapToGrid/>
        <w:spacing w:before="157" w:beforeLines="50" w:after="157" w:afterLines="50" w:line="600" w:lineRule="exact"/>
        <w:ind w:left="0" w:leftChars="0" w:firstLine="0" w:firstLineChars="0"/>
        <w:jc w:val="center"/>
        <w:textAlignment w:val="auto"/>
        <w:outlineLvl w:val="1"/>
        <w:rPr>
          <w:rStyle w:val="28"/>
          <w:rFonts w:hint="eastAsia"/>
          <w:lang w:eastAsia="zh-CN"/>
        </w:rPr>
      </w:pPr>
      <w:bookmarkStart w:id="133" w:name="_Toc10927"/>
      <w:bookmarkStart w:id="134" w:name="_Toc31089"/>
      <w:r>
        <w:rPr>
          <w:rStyle w:val="28"/>
          <w:rFonts w:hint="eastAsia"/>
        </w:rPr>
        <w:t>第二节 优化提升城市</w:t>
      </w:r>
      <w:r>
        <w:rPr>
          <w:rStyle w:val="28"/>
          <w:rFonts w:hint="eastAsia"/>
          <w:lang w:val="en-US" w:eastAsia="zh-CN"/>
        </w:rPr>
        <w:t>功能</w:t>
      </w:r>
      <w:bookmarkEnd w:id="133"/>
    </w:p>
    <w:bookmarkEnd w:id="134"/>
    <w:p w14:paraId="755D43A5">
      <w:pPr>
        <w:pBdr>
          <w:bottom w:val="single" w:color="FFFFFF" w:sz="4" w:space="24"/>
        </w:pBdr>
        <w:overflowPunct w:val="0"/>
        <w:autoSpaceDE w:val="0"/>
        <w:autoSpaceDN w:val="0"/>
        <w:spacing w:line="600" w:lineRule="exact"/>
        <w:rPr>
          <w:rFonts w:hint="eastAsia" w:ascii="黑体" w:hAnsi="黑体" w:eastAsia="仿宋_GB2312" w:cs="黑体"/>
          <w:color w:val="000000" w:themeColor="text1"/>
          <w:lang w:eastAsia="zh-CN"/>
          <w14:textFill>
            <w14:solidFill>
              <w14:schemeClr w14:val="tx1"/>
            </w14:solidFill>
          </w14:textFill>
        </w:rPr>
      </w:pPr>
      <w:r>
        <w:rPr>
          <w:rFonts w:hint="eastAsia" w:ascii="仿宋_GB2312" w:hAnsi="仿宋_GB2312" w:eastAsia="仿宋_GB2312" w:cs="仿宋_GB2312"/>
          <w:color w:val="000000"/>
        </w:rPr>
        <w:t>依托产业基础，放大交通枢纽、人口承载、公共服务等核心功能，优化提升“四个功能</w:t>
      </w:r>
      <w:r>
        <w:rPr>
          <w:rFonts w:hint="eastAsia" w:ascii="仿宋_GB2312" w:hAnsi="仿宋_GB2312" w:eastAsia="仿宋_GB2312" w:cs="仿宋_GB2312"/>
          <w:color w:val="000000"/>
          <w:lang w:val="en-US" w:eastAsia="zh-CN"/>
        </w:rPr>
        <w:t>区</w:t>
      </w:r>
      <w:r>
        <w:rPr>
          <w:rFonts w:hint="eastAsia" w:ascii="仿宋_GB2312" w:hAnsi="仿宋_GB2312" w:eastAsia="仿宋_GB2312" w:cs="仿宋_GB2312"/>
          <w:color w:val="000000"/>
        </w:rPr>
        <w:t>”。</w:t>
      </w:r>
      <w:r>
        <w:rPr>
          <w:rFonts w:hint="eastAsia"/>
          <w:b/>
          <w:bCs/>
          <w:lang w:val="en-US" w:eastAsia="zh-CN"/>
        </w:rPr>
        <w:t>文旅商融合示范区。</w:t>
      </w:r>
      <w:r>
        <w:rPr>
          <w:rFonts w:hint="eastAsia" w:ascii="仿宋_GB2312" w:hAnsi="仿宋_GB2312" w:eastAsia="仿宋_GB2312" w:cs="仿宋_GB2312"/>
          <w:sz w:val="32"/>
          <w:szCs w:val="32"/>
          <w:lang w:val="en-US" w:eastAsia="zh-CN"/>
        </w:rPr>
        <w:t>持续做好</w:t>
      </w:r>
      <w:r>
        <w:rPr>
          <w:rFonts w:hint="eastAsia" w:ascii="仿宋_GB2312" w:hAnsi="仿宋_GB2312" w:cs="仿宋_GB2312"/>
          <w:sz w:val="32"/>
          <w:szCs w:val="32"/>
          <w:lang w:val="en-US" w:eastAsia="zh-CN"/>
        </w:rPr>
        <w:t>铁南</w:t>
      </w:r>
      <w:r>
        <w:rPr>
          <w:rFonts w:hint="eastAsia" w:ascii="仿宋_GB2312" w:hAnsi="仿宋_GB2312" w:eastAsia="仿宋_GB2312" w:cs="仿宋_GB2312"/>
          <w:sz w:val="32"/>
          <w:szCs w:val="32"/>
          <w:lang w:val="en-US" w:eastAsia="zh-CN"/>
        </w:rPr>
        <w:t>历史文化</w:t>
      </w:r>
      <w:r>
        <w:rPr>
          <w:rFonts w:hint="eastAsia" w:ascii="仿宋_GB2312" w:hAnsi="仿宋_GB2312" w:cs="仿宋_GB2312"/>
          <w:sz w:val="32"/>
          <w:szCs w:val="32"/>
          <w:lang w:val="en-US" w:eastAsia="zh-CN"/>
        </w:rPr>
        <w:t>街区和文物</w:t>
      </w:r>
      <w:r>
        <w:rPr>
          <w:rFonts w:hint="eastAsia" w:ascii="仿宋_GB2312" w:hAnsi="仿宋_GB2312" w:eastAsia="仿宋_GB2312" w:cs="仿宋_GB2312"/>
          <w:sz w:val="32"/>
          <w:szCs w:val="32"/>
          <w:lang w:val="en-US" w:eastAsia="zh-CN"/>
        </w:rPr>
        <w:t>建筑</w:t>
      </w:r>
      <w:r>
        <w:rPr>
          <w:rFonts w:ascii="仿宋_GB2312" w:hAnsi="仿宋_GB2312" w:eastAsia="仿宋_GB2312" w:cs="仿宋_GB2312"/>
          <w:sz w:val="32"/>
          <w:szCs w:val="32"/>
        </w:rPr>
        <w:t>保护与</w:t>
      </w:r>
      <w:r>
        <w:rPr>
          <w:rFonts w:hint="eastAsia" w:ascii="仿宋_GB2312" w:hAnsi="仿宋_GB2312" w:cs="仿宋_GB2312"/>
          <w:sz w:val="32"/>
          <w:szCs w:val="32"/>
          <w:lang w:val="en-US" w:eastAsia="zh-CN"/>
        </w:rPr>
        <w:t>活化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同步</w:t>
      </w:r>
      <w:r>
        <w:rPr>
          <w:rFonts w:hint="eastAsia" w:ascii="仿宋_GB2312" w:hAnsi="仿宋_GB2312" w:eastAsia="仿宋_GB2312" w:cs="仿宋_GB2312"/>
          <w:sz w:val="32"/>
          <w:szCs w:val="32"/>
        </w:rPr>
        <w:t>引入</w:t>
      </w:r>
      <w:r>
        <w:rPr>
          <w:rFonts w:hint="eastAsia" w:ascii="仿宋_GB2312" w:hAnsi="仿宋_GB2312" w:eastAsia="仿宋_GB2312" w:cs="仿宋_GB2312"/>
          <w:color w:val="000000"/>
          <w:sz w:val="32"/>
          <w:szCs w:val="32"/>
          <w:highlight w:val="none"/>
          <w:lang w:val="en-US" w:eastAsia="zh-CN"/>
        </w:rPr>
        <w:t>文创设计、</w:t>
      </w:r>
      <w:r>
        <w:rPr>
          <w:rFonts w:hint="eastAsia" w:ascii="仿宋_GB2312" w:hAnsi="仿宋_GB2312" w:eastAsia="仿宋_GB2312" w:cs="仿宋_GB2312"/>
          <w:sz w:val="32"/>
          <w:szCs w:val="32"/>
        </w:rPr>
        <w:t>餐饮休闲、文化创意等</w:t>
      </w:r>
      <w:r>
        <w:rPr>
          <w:rFonts w:hint="eastAsia" w:ascii="仿宋_GB2312" w:hAnsi="仿宋_GB2312" w:eastAsia="仿宋_GB2312" w:cs="仿宋_GB2312"/>
          <w:sz w:val="32"/>
          <w:szCs w:val="32"/>
          <w:lang w:val="en-US" w:eastAsia="zh-CN"/>
        </w:rPr>
        <w:t>新经济、新</w:t>
      </w:r>
      <w:r>
        <w:rPr>
          <w:rFonts w:hint="eastAsia" w:ascii="仿宋_GB2312" w:hAnsi="仿宋_GB2312" w:eastAsia="仿宋_GB2312" w:cs="仿宋_GB2312"/>
          <w:sz w:val="32"/>
          <w:szCs w:val="32"/>
        </w:rPr>
        <w:t>业态，</w:t>
      </w:r>
      <w:r>
        <w:rPr>
          <w:rFonts w:hint="eastAsia" w:ascii="仿宋_GB2312" w:hAnsi="仿宋_GB2312" w:eastAsia="仿宋_GB2312" w:cs="仿宋_GB2312"/>
          <w:sz w:val="32"/>
          <w:szCs w:val="32"/>
          <w:lang w:val="en-US" w:eastAsia="zh-CN"/>
        </w:rPr>
        <w:t>打造复古街区与现代建筑兼蓄、</w:t>
      </w:r>
      <w:r>
        <w:rPr>
          <w:rFonts w:hint="eastAsia" w:ascii="仿宋_GB2312" w:hAnsi="仿宋_GB2312" w:cs="仿宋_GB2312"/>
          <w:sz w:val="32"/>
          <w:szCs w:val="32"/>
          <w:lang w:val="en-US" w:eastAsia="zh-CN"/>
        </w:rPr>
        <w:t>历史</w:t>
      </w:r>
      <w:r>
        <w:rPr>
          <w:rFonts w:hint="eastAsia" w:ascii="仿宋_GB2312" w:hAnsi="仿宋_GB2312" w:eastAsia="仿宋_GB2312" w:cs="仿宋_GB2312"/>
          <w:sz w:val="32"/>
          <w:szCs w:val="32"/>
          <w:lang w:val="en-US" w:eastAsia="zh-CN"/>
        </w:rPr>
        <w:t>文化与商业贸易融合的中心城区，深入</w:t>
      </w:r>
      <w:r>
        <w:rPr>
          <w:rFonts w:hint="default" w:ascii="Times New Roman" w:hAnsi="Times New Roman" w:eastAsia="仿宋_GB2312" w:cs="Times New Roman"/>
          <w:sz w:val="32"/>
          <w:szCs w:val="32"/>
        </w:rPr>
        <w:t>挖掘红色文化</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color w:val="000000"/>
          <w:sz w:val="32"/>
          <w:szCs w:val="32"/>
          <w:highlight w:val="none"/>
          <w:lang w:val="en-US" w:eastAsia="zh-CN"/>
        </w:rPr>
        <w:t>讲好宽城故事</w:t>
      </w:r>
      <w:r>
        <w:rPr>
          <w:rFonts w:hint="eastAsia" w:hAnsi="仿宋_GB2312" w:cs="仿宋_GB2312"/>
          <w:color w:val="000000"/>
          <w:sz w:val="32"/>
          <w:szCs w:val="32"/>
          <w:highlight w:val="none"/>
          <w:lang w:val="en-US" w:eastAsia="zh-CN"/>
        </w:rPr>
        <w:t>，打造文化旅游目的地</w:t>
      </w:r>
      <w:r>
        <w:rPr>
          <w:rFonts w:hint="eastAsia" w:ascii="仿宋_GB2312" w:hAnsi="仿宋_GB2312" w:eastAsia="仿宋_GB2312" w:cs="仿宋_GB2312"/>
          <w:color w:val="000000"/>
          <w:sz w:val="32"/>
          <w:szCs w:val="32"/>
          <w:highlight w:val="none"/>
          <w:lang w:val="en-US" w:eastAsia="zh-CN"/>
        </w:rPr>
        <w:t>。</w:t>
      </w:r>
      <w:r>
        <w:rPr>
          <w:rFonts w:hint="eastAsia" w:ascii="仿宋_GB2312" w:hAnsi="Times New Roman" w:eastAsia="仿宋_GB2312" w:cs="Times New Roman"/>
          <w:b/>
          <w:bCs/>
          <w:sz w:val="32"/>
          <w:szCs w:val="32"/>
          <w:lang w:val="en-US" w:eastAsia="zh-CN"/>
        </w:rPr>
        <w:t>商贸物流集散区。</w:t>
      </w:r>
      <w:r>
        <w:rPr>
          <w:rFonts w:hint="eastAsia" w:ascii="仿宋_GB2312" w:hAnsi="Times New Roman" w:eastAsia="仿宋_GB2312" w:cs="Times New Roman"/>
          <w:sz w:val="32"/>
          <w:szCs w:val="32"/>
          <w:lang w:val="en-US" w:eastAsia="zh-CN"/>
        </w:rPr>
        <w:t>以长春火车站为中心，</w:t>
      </w:r>
      <w:r>
        <w:rPr>
          <w:rFonts w:hint="eastAsia" w:cs="Times New Roman"/>
          <w:sz w:val="32"/>
          <w:szCs w:val="32"/>
          <w:lang w:val="en-US" w:eastAsia="zh-CN"/>
        </w:rPr>
        <w:t>整合</w:t>
      </w:r>
      <w:r>
        <w:rPr>
          <w:rFonts w:hint="eastAsia" w:ascii="仿宋_GB2312" w:hAnsi="Times New Roman" w:eastAsia="仿宋_GB2312" w:cs="Times New Roman"/>
          <w:sz w:val="32"/>
          <w:szCs w:val="32"/>
          <w:lang w:val="en-US" w:eastAsia="zh-CN"/>
        </w:rPr>
        <w:t>铁南和站北区域</w:t>
      </w:r>
      <w:r>
        <w:rPr>
          <w:rFonts w:hint="eastAsia" w:cs="Times New Roman"/>
          <w:sz w:val="32"/>
          <w:szCs w:val="32"/>
          <w:lang w:val="en-US" w:eastAsia="zh-CN"/>
        </w:rPr>
        <w:t>资源，</w:t>
      </w:r>
      <w:r>
        <w:rPr>
          <w:rFonts w:hint="eastAsia" w:ascii="仿宋_GB2312" w:hAnsi="Times New Roman" w:eastAsia="仿宋_GB2312" w:cs="Times New Roman"/>
          <w:sz w:val="32"/>
          <w:szCs w:val="32"/>
          <w:lang w:val="en-US" w:eastAsia="zh-CN"/>
        </w:rPr>
        <w:t>发挥火车站、客运站等交通物流枢纽优势</w:t>
      </w:r>
      <w:r>
        <w:rPr>
          <w:rFonts w:hint="eastAsia" w:cs="Times New Roman"/>
          <w:sz w:val="32"/>
          <w:szCs w:val="32"/>
          <w:lang w:val="en-US" w:eastAsia="zh-CN"/>
        </w:rPr>
        <w:t>，推动传统商贸业数字化转型发展，建设线上线下智慧商圈，打造长春市“窗口”形象。</w:t>
      </w:r>
      <w:r>
        <w:rPr>
          <w:rFonts w:hint="eastAsia" w:ascii="仿宋_GB2312" w:hAnsi="Times New Roman" w:eastAsia="仿宋_GB2312" w:cs="Times New Roman"/>
          <w:b/>
          <w:bCs/>
          <w:sz w:val="32"/>
          <w:szCs w:val="32"/>
          <w:lang w:val="en-US" w:eastAsia="zh-CN"/>
        </w:rPr>
        <w:t>商业商务核心区。</w:t>
      </w:r>
      <w:r>
        <w:rPr>
          <w:rFonts w:hint="eastAsia" w:ascii="仿宋_GB2312" w:hAnsi="仿宋_GB2312" w:eastAsia="仿宋_GB2312" w:cs="仿宋_GB2312"/>
          <w:sz w:val="32"/>
          <w:szCs w:val="32"/>
          <w:lang w:val="en-US" w:eastAsia="zh-CN"/>
        </w:rPr>
        <w:t>在行政中心区周边及老机车厂区域，依托北三环路改造和闲置地块释放的空间资源，引进现代商业商务综合体和高端居住项目，培育首店经济、跨境电商体验店等新兴消费场景</w:t>
      </w:r>
      <w:r>
        <w:rPr>
          <w:rFonts w:hint="eastAsia" w:hAnsi="仿宋_GB2312" w:cs="仿宋_GB2312"/>
          <w:sz w:val="32"/>
          <w:szCs w:val="32"/>
          <w:lang w:val="en-US" w:eastAsia="zh-CN"/>
        </w:rPr>
        <w:t>，打造商业商务功能区。</w:t>
      </w:r>
      <w:r>
        <w:rPr>
          <w:rFonts w:hint="eastAsia"/>
          <w:b/>
          <w:bCs/>
          <w:lang w:val="en-US" w:eastAsia="zh-CN"/>
        </w:rPr>
        <w:t>产业发展集聚区。</w:t>
      </w:r>
      <w:r>
        <w:rPr>
          <w:rFonts w:hint="eastAsia" w:ascii="仿宋_GB2312" w:hAnsi="仿宋_GB2312" w:eastAsia="仿宋_GB2312" w:cs="仿宋_GB2312"/>
          <w:sz w:val="32"/>
          <w:szCs w:val="32"/>
          <w:lang w:val="en-US" w:eastAsia="zh-CN"/>
        </w:rPr>
        <w:t>依</w:t>
      </w:r>
      <w:r>
        <w:rPr>
          <w:rFonts w:hint="eastAsia" w:ascii="仿宋_GB2312" w:hAnsi="Times New Roman" w:eastAsia="仿宋_GB2312" w:cs="Times New Roman"/>
          <w:sz w:val="32"/>
          <w:szCs w:val="32"/>
          <w:lang w:val="en-US" w:eastAsia="zh-CN"/>
        </w:rPr>
        <w:t>托宽城经济开发区的产业基础和空间资源，持续做大做强轨道交通装备等主导产业，加速培育</w:t>
      </w:r>
      <w:r>
        <w:rPr>
          <w:rFonts w:hint="eastAsia" w:ascii="仿宋_GB2312" w:cs="Times New Roman"/>
          <w:sz w:val="32"/>
          <w:szCs w:val="32"/>
          <w:lang w:val="en-US" w:eastAsia="zh-CN"/>
        </w:rPr>
        <w:t>绿色</w:t>
      </w:r>
      <w:r>
        <w:rPr>
          <w:rFonts w:hint="eastAsia" w:ascii="仿宋_GB2312" w:hAnsi="Times New Roman" w:eastAsia="仿宋_GB2312" w:cs="Times New Roman"/>
          <w:sz w:val="32"/>
          <w:szCs w:val="32"/>
          <w:lang w:val="en-US" w:eastAsia="zh-CN"/>
        </w:rPr>
        <w:t>新能源等新赛道产业，建好循环经济、现代食品等特色产业园区</w:t>
      </w:r>
      <w:r>
        <w:rPr>
          <w:rFonts w:hint="eastAsia" w:cs="Times New Roman"/>
          <w:sz w:val="32"/>
          <w:szCs w:val="32"/>
          <w:lang w:val="en-US" w:eastAsia="zh-CN"/>
        </w:rPr>
        <w:t>，推进产城融合发展和城乡一体化建设</w:t>
      </w:r>
      <w:r>
        <w:rPr>
          <w:rFonts w:hint="eastAsia" w:ascii="仿宋_GB2312" w:hAnsi="Times New Roman" w:eastAsia="仿宋_GB2312" w:cs="Times New Roman"/>
          <w:sz w:val="32"/>
          <w:szCs w:val="32"/>
          <w:lang w:val="en-US" w:eastAsia="zh-CN"/>
        </w:rPr>
        <w:t xml:space="preserve">。 </w:t>
      </w:r>
    </w:p>
    <w:p w14:paraId="5C9AB348">
      <w:pPr>
        <w:ind w:left="0" w:leftChars="0" w:firstLine="0" w:firstLineChars="0"/>
        <w:rPr>
          <w:rFonts w:hint="eastAsia" w:ascii="黑体" w:hAnsi="黑体" w:eastAsia="仿宋_GB2312" w:cs="黑体"/>
          <w:color w:val="000000" w:themeColor="text1"/>
          <w:lang w:eastAsia="zh-CN"/>
          <w14:textFill>
            <w14:solidFill>
              <w14:schemeClr w14:val="tx1"/>
            </w14:solidFill>
          </w14:textFill>
        </w:rPr>
      </w:pPr>
    </w:p>
    <w:p w14:paraId="43CB002E">
      <w:pPr>
        <w:spacing w:line="240" w:lineRule="auto"/>
        <w:ind w:left="0" w:leftChars="0" w:firstLine="0" w:firstLineChars="0"/>
        <w:rPr>
          <w:rFonts w:hint="eastAsia" w:ascii="黑体" w:hAnsi="黑体" w:cs="黑体"/>
          <w:color w:val="000000" w:themeColor="text1"/>
          <w14:textFill>
            <w14:solidFill>
              <w14:schemeClr w14:val="tx1"/>
            </w14:solidFill>
          </w14:textFill>
        </w:rPr>
      </w:pPr>
      <w:r>
        <w:rPr>
          <w:rFonts w:hint="eastAsia" w:ascii="黑体" w:hAnsi="黑体" w:cs="黑体"/>
          <w:color w:val="000000" w:themeColor="text1"/>
          <w14:textFill>
            <w14:solidFill>
              <w14:schemeClr w14:val="tx1"/>
            </w14:solidFill>
          </w14:textFill>
        </w:rPr>
        <w:br w:type="page"/>
      </w:r>
    </w:p>
    <w:p w14:paraId="183E43E1">
      <w:pPr>
        <w:pStyle w:val="2"/>
        <w:keepNext w:val="0"/>
        <w:keepLines w:val="0"/>
        <w:pageBreakBefore w:val="0"/>
        <w:widowControl w:val="0"/>
        <w:kinsoku/>
        <w:wordWrap/>
        <w:overflowPunct/>
        <w:topLinePunct w:val="0"/>
        <w:autoSpaceDE/>
        <w:autoSpaceDN/>
        <w:bidi w:val="0"/>
        <w:adjustRightInd w:val="0"/>
        <w:snapToGrid w:val="0"/>
        <w:spacing w:before="438" w:beforeLines="100" w:after="438" w:afterLines="100" w:line="600" w:lineRule="exact"/>
        <w:textAlignment w:val="auto"/>
        <w:rPr>
          <w:rFonts w:hint="eastAsia" w:ascii="黑体" w:hAnsi="黑体" w:cs="黑体"/>
          <w:color w:val="000000" w:themeColor="text1"/>
          <w14:textFill>
            <w14:solidFill>
              <w14:schemeClr w14:val="tx1"/>
            </w14:solidFill>
          </w14:textFill>
        </w:rPr>
      </w:pPr>
      <w:bookmarkStart w:id="135" w:name="_Toc4993"/>
      <w:r>
        <w:rPr>
          <w:rFonts w:hint="eastAsia" w:ascii="黑体" w:hAnsi="黑体" w:cs="黑体"/>
          <w:color w:val="000000" w:themeColor="text1"/>
          <w14:textFill>
            <w14:solidFill>
              <w14:schemeClr w14:val="tx1"/>
            </w14:solidFill>
          </w14:textFill>
        </w:rPr>
        <w:t>第三章 培育新质生产力，构建现代化产业体系</w:t>
      </w:r>
      <w:bookmarkEnd w:id="124"/>
      <w:bookmarkEnd w:id="125"/>
      <w:bookmarkEnd w:id="126"/>
      <w:bookmarkEnd w:id="127"/>
      <w:bookmarkEnd w:id="135"/>
    </w:p>
    <w:p w14:paraId="19686B78">
      <w:pPr>
        <w:spacing w:line="600" w:lineRule="exact"/>
        <w:ind w:firstLine="64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主动融入长春市“3转、4强、7新”产业体系，统筹推进传统产业升级、优势产业壮大与新质生产力培育，构建“五业联动+五新赛道”现代化产业体系。</w:t>
      </w:r>
    </w:p>
    <w:p w14:paraId="2E16DA25">
      <w:pPr>
        <w:pStyle w:val="3"/>
        <w:spacing w:before="156" w:after="156" w:line="600" w:lineRule="exact"/>
        <w:ind w:firstLine="0" w:firstLineChars="0"/>
        <w:outlineLvl w:val="1"/>
        <w:rPr>
          <w:color w:val="000000" w:themeColor="text1"/>
          <w14:textFill>
            <w14:solidFill>
              <w14:schemeClr w14:val="tx1"/>
            </w14:solidFill>
          </w14:textFill>
        </w:rPr>
      </w:pPr>
      <w:bookmarkStart w:id="136" w:name="_Toc22640"/>
      <w:bookmarkStart w:id="137" w:name="_Toc19998"/>
      <w:bookmarkStart w:id="138" w:name="_Toc19597"/>
      <w:bookmarkStart w:id="139" w:name="_Toc10892"/>
      <w:bookmarkStart w:id="140" w:name="_Toc211153998"/>
      <w:r>
        <w:rPr>
          <w:rFonts w:hint="eastAsia"/>
          <w:color w:val="000000" w:themeColor="text1"/>
          <w14:textFill>
            <w14:solidFill>
              <w14:schemeClr w14:val="tx1"/>
            </w14:solidFill>
          </w14:textFill>
        </w:rPr>
        <w:t>第一节 推动先进制造业聚链成群</w:t>
      </w:r>
      <w:bookmarkEnd w:id="136"/>
      <w:bookmarkEnd w:id="137"/>
      <w:bookmarkEnd w:id="138"/>
      <w:bookmarkEnd w:id="139"/>
      <w:bookmarkEnd w:id="140"/>
    </w:p>
    <w:p w14:paraId="3AC390A1">
      <w:pPr>
        <w:adjustRightInd w:val="0"/>
        <w:snapToGrid w:val="0"/>
        <w:spacing w:line="600" w:lineRule="exact"/>
        <w:ind w:firstLine="640"/>
        <w:rPr>
          <w:rFonts w:hint="eastAsia"/>
        </w:rPr>
      </w:pPr>
      <w:r>
        <w:rPr>
          <w:rFonts w:hint="eastAsia"/>
          <w:b/>
          <w:bCs/>
        </w:rPr>
        <w:t>加</w:t>
      </w:r>
      <w:r>
        <w:rPr>
          <w:rFonts w:hint="eastAsia"/>
          <w:b/>
          <w:bCs/>
          <w:lang w:val="en-US" w:eastAsia="zh-CN"/>
        </w:rPr>
        <w:t>快</w:t>
      </w:r>
      <w:r>
        <w:rPr>
          <w:rFonts w:hint="eastAsia"/>
          <w:b/>
          <w:bCs/>
        </w:rPr>
        <w:t>发展轨道交通装备制造业。</w:t>
      </w:r>
      <w:r>
        <w:rPr>
          <w:rFonts w:hint="eastAsia"/>
          <w:b w:val="0"/>
          <w:bCs w:val="0"/>
          <w:lang w:bidi="ar"/>
        </w:rPr>
        <w:t>强化补链延链能力</w:t>
      </w:r>
      <w:r>
        <w:rPr>
          <w:rFonts w:hint="eastAsia"/>
          <w:b w:val="0"/>
          <w:bCs w:val="0"/>
          <w:lang w:eastAsia="zh-CN" w:bidi="ar"/>
        </w:rPr>
        <w:t>，</w:t>
      </w:r>
      <w:r>
        <w:rPr>
          <w:rFonts w:hint="eastAsia"/>
          <w:lang w:bidi="ar"/>
        </w:rPr>
        <w:t>聚焦动车组关键生产技术、配套技术和检修技术，加大核心供应企业引进力度。围绕壮大轨道交通车辆运维检修产业，</w:t>
      </w:r>
      <w:r>
        <w:rPr>
          <w:rFonts w:hint="eastAsia"/>
        </w:rPr>
        <w:t>检修业务从普系列车向高速动车、城轨列车领域拓展。</w:t>
      </w:r>
    </w:p>
    <w:p w14:paraId="347579D0">
      <w:pPr>
        <w:spacing w:line="600" w:lineRule="exact"/>
        <w:rPr>
          <w:rFonts w:hint="eastAsia"/>
          <w:color w:val="000000" w:themeColor="text1"/>
          <w14:textFill>
            <w14:solidFill>
              <w14:schemeClr w14:val="tx1"/>
            </w14:solidFill>
          </w14:textFill>
        </w:rPr>
      </w:pPr>
      <w:r>
        <w:rPr>
          <w:rFonts w:hint="eastAsia"/>
          <w:b/>
          <w:bCs/>
        </w:rPr>
        <w:t>加</w:t>
      </w:r>
      <w:r>
        <w:rPr>
          <w:rFonts w:hint="eastAsia"/>
          <w:b/>
          <w:bCs/>
          <w:lang w:val="en-US" w:eastAsia="zh-CN"/>
        </w:rPr>
        <w:t>快</w:t>
      </w:r>
      <w:r>
        <w:rPr>
          <w:rFonts w:hint="eastAsia"/>
          <w:b/>
          <w:bCs/>
        </w:rPr>
        <w:t>发展汽车零部件</w:t>
      </w:r>
      <w:r>
        <w:rPr>
          <w:rFonts w:hint="eastAsia"/>
          <w:b/>
          <w:bCs/>
          <w:lang w:val="en-US" w:eastAsia="zh-CN"/>
        </w:rPr>
        <w:t>产业</w:t>
      </w:r>
      <w:r>
        <w:rPr>
          <w:rFonts w:hint="eastAsia"/>
          <w:b/>
          <w:bCs/>
        </w:rPr>
        <w:t>。</w:t>
      </w:r>
      <w:r>
        <w:rPr>
          <w:rFonts w:hint="eastAsia"/>
        </w:rPr>
        <w:t>立足服务一汽集团及其合资产品配套需求，加快引进一批专精特新企业和科技型产业项目，</w:t>
      </w:r>
      <w:r>
        <w:rPr>
          <w:rFonts w:hint="eastAsia"/>
          <w:lang w:val="en-US" w:eastAsia="zh-CN"/>
        </w:rPr>
        <w:t>带动</w:t>
      </w:r>
      <w:r>
        <w:rPr>
          <w:rFonts w:hint="eastAsia"/>
        </w:rPr>
        <w:t>工业</w:t>
      </w:r>
      <w:r>
        <w:rPr>
          <w:rFonts w:hint="eastAsia"/>
          <w:lang w:val="en-US" w:eastAsia="zh-CN"/>
        </w:rPr>
        <w:t>制造</w:t>
      </w:r>
      <w:r>
        <w:rPr>
          <w:rFonts w:hint="eastAsia"/>
        </w:rPr>
        <w:t>向数字化、智能化、网络化领域转型升级。</w:t>
      </w:r>
    </w:p>
    <w:p w14:paraId="67F7074A">
      <w:pPr>
        <w:pStyle w:val="3"/>
        <w:bidi w:val="0"/>
        <w:ind w:firstLine="0" w:firstLineChars="0"/>
        <w:outlineLvl w:val="1"/>
      </w:pPr>
      <w:bookmarkStart w:id="141" w:name="_Toc28452"/>
      <w:bookmarkStart w:id="142" w:name="_Toc6227"/>
      <w:bookmarkStart w:id="143" w:name="_Toc17291"/>
      <w:bookmarkStart w:id="144" w:name="_Toc211153999"/>
      <w:bookmarkStart w:id="145" w:name="_Toc12646"/>
      <w:r>
        <w:rPr>
          <w:rFonts w:hint="eastAsia"/>
        </w:rPr>
        <w:t>第二节 推动现代服务业提质升级</w:t>
      </w:r>
      <w:bookmarkEnd w:id="141"/>
      <w:bookmarkEnd w:id="142"/>
      <w:bookmarkEnd w:id="143"/>
      <w:bookmarkEnd w:id="144"/>
      <w:bookmarkEnd w:id="145"/>
    </w:p>
    <w:p w14:paraId="636053FE">
      <w:pPr>
        <w:bidi w:val="0"/>
        <w:rPr>
          <w:rFonts w:hint="eastAsia"/>
          <w:lang w:val="en-US" w:eastAsia="zh-CN"/>
        </w:rPr>
      </w:pPr>
      <w:bookmarkStart w:id="146" w:name="_Toc2786"/>
      <w:bookmarkStart w:id="147" w:name="_Toc31053"/>
      <w:bookmarkStart w:id="148" w:name="_Toc211154000"/>
      <w:bookmarkStart w:id="149" w:name="_Toc10273"/>
      <w:r>
        <w:rPr>
          <w:rFonts w:hint="eastAsia"/>
          <w:b/>
          <w:bCs/>
          <w:lang w:val="en-US" w:eastAsia="zh-CN"/>
        </w:rPr>
        <w:t>提档升级</w:t>
      </w:r>
      <w:r>
        <w:rPr>
          <w:rFonts w:hint="eastAsia"/>
          <w:b/>
          <w:bCs/>
        </w:rPr>
        <w:t>商贸服务业。</w:t>
      </w:r>
      <w:r>
        <w:rPr>
          <w:rFonts w:hint="eastAsia"/>
        </w:rPr>
        <w:t>发展首店经济</w:t>
      </w:r>
      <w:r>
        <w:rPr>
          <w:rFonts w:hint="eastAsia"/>
          <w:lang w:eastAsia="zh-CN"/>
        </w:rPr>
        <w:t>，利用</w:t>
      </w:r>
      <w:r>
        <w:rPr>
          <w:rFonts w:hint="eastAsia"/>
        </w:rPr>
        <w:t>站北、中心区、北三环路</w:t>
      </w:r>
      <w:r>
        <w:rPr>
          <w:rFonts w:hint="eastAsia"/>
          <w:lang w:eastAsia="zh-CN"/>
        </w:rPr>
        <w:t>等</w:t>
      </w:r>
      <w:r>
        <w:rPr>
          <w:rFonts w:hint="eastAsia"/>
        </w:rPr>
        <w:t>空间资源及闲置楼宇资源，引进知名商业</w:t>
      </w:r>
      <w:r>
        <w:rPr>
          <w:rFonts w:hint="eastAsia"/>
          <w:lang w:eastAsia="zh-CN"/>
        </w:rPr>
        <w:t>标杆</w:t>
      </w:r>
      <w:r>
        <w:rPr>
          <w:rFonts w:hint="eastAsia"/>
        </w:rPr>
        <w:t>企业</w:t>
      </w:r>
      <w:r>
        <w:rPr>
          <w:rFonts w:hint="eastAsia"/>
          <w:lang w:val="en-US" w:eastAsia="zh-CN"/>
        </w:rPr>
        <w:t>和</w:t>
      </w:r>
      <w:r>
        <w:rPr>
          <w:rFonts w:hint="eastAsia"/>
        </w:rPr>
        <w:t>知名品牌首店、旗舰店、体验店。</w:t>
      </w:r>
      <w:r>
        <w:rPr>
          <w:rFonts w:hint="eastAsia"/>
          <w:lang w:val="en-US" w:eastAsia="zh-CN"/>
        </w:rPr>
        <w:t>发展平台经济</w:t>
      </w:r>
      <w:r>
        <w:rPr>
          <w:rFonts w:hint="eastAsia"/>
          <w:lang w:eastAsia="zh-CN"/>
        </w:rPr>
        <w:t>，</w:t>
      </w:r>
      <w:r>
        <w:rPr>
          <w:rFonts w:hint="eastAsia"/>
        </w:rPr>
        <w:t>充分</w:t>
      </w:r>
      <w:r>
        <w:rPr>
          <w:rFonts w:hint="eastAsia"/>
          <w:lang w:val="en-US" w:eastAsia="zh-CN"/>
        </w:rPr>
        <w:t>运用</w:t>
      </w:r>
      <w:r>
        <w:rPr>
          <w:rFonts w:hint="eastAsia"/>
        </w:rPr>
        <w:t>电商网络销售平台，发展</w:t>
      </w:r>
      <w:r>
        <w:rPr>
          <w:rFonts w:hint="eastAsia"/>
          <w:lang w:val="en-US" w:eastAsia="zh-CN"/>
        </w:rPr>
        <w:t>即时零售、直播电商等新业态。</w:t>
      </w:r>
    </w:p>
    <w:p w14:paraId="41F13549">
      <w:pPr>
        <w:bidi w:val="0"/>
        <w:rPr>
          <w:rFonts w:hint="eastAsia"/>
          <w:lang w:eastAsia="zh-CN"/>
        </w:rPr>
      </w:pPr>
      <w:r>
        <w:rPr>
          <w:rFonts w:hint="eastAsia"/>
          <w:b/>
          <w:bCs/>
          <w:lang w:val="en-US" w:eastAsia="zh-CN"/>
        </w:rPr>
        <w:t>优化提升</w:t>
      </w:r>
      <w:r>
        <w:rPr>
          <w:rFonts w:hint="eastAsia"/>
          <w:b/>
          <w:bCs/>
        </w:rPr>
        <w:t>现代物流业。</w:t>
      </w:r>
      <w:r>
        <w:rPr>
          <w:rFonts w:hint="eastAsia"/>
          <w:lang w:val="en-US" w:eastAsia="zh-CN"/>
        </w:rPr>
        <w:t>发展生活型物流，</w:t>
      </w:r>
      <w:r>
        <w:rPr>
          <w:rFonts w:hint="eastAsia"/>
        </w:rPr>
        <w:t>鼓励传统批发企业以单品供应为突破点，抢占东北市场制高点</w:t>
      </w:r>
      <w:r>
        <w:rPr>
          <w:rFonts w:hint="eastAsia"/>
          <w:lang w:eastAsia="zh-CN"/>
        </w:rPr>
        <w:t>。</w:t>
      </w:r>
      <w:r>
        <w:rPr>
          <w:rFonts w:hint="eastAsia"/>
          <w:lang w:val="en-US" w:eastAsia="zh-CN"/>
        </w:rPr>
        <w:t>发展生产型物流，推动工业企业</w:t>
      </w:r>
      <w:r>
        <w:rPr>
          <w:rFonts w:hint="eastAsia"/>
          <w:lang w:eastAsia="zh-CN"/>
        </w:rPr>
        <w:t>应用</w:t>
      </w:r>
      <w:r>
        <w:rPr>
          <w:rFonts w:hint="eastAsia"/>
          <w:lang w:val="en-US" w:eastAsia="zh-CN"/>
        </w:rPr>
        <w:t>智能调度系统，提升物流效率和效能</w:t>
      </w:r>
      <w:r>
        <w:rPr>
          <w:rFonts w:hint="eastAsia"/>
          <w:lang w:eastAsia="zh-CN"/>
        </w:rPr>
        <w:t>。</w:t>
      </w:r>
    </w:p>
    <w:p w14:paraId="16EAD956">
      <w:pPr>
        <w:bidi w:val="0"/>
        <w:rPr>
          <w:rFonts w:hint="eastAsia"/>
        </w:rPr>
      </w:pPr>
      <w:r>
        <w:rPr>
          <w:rFonts w:hint="eastAsia"/>
          <w:b/>
          <w:bCs/>
          <w:lang w:eastAsia="zh-CN"/>
        </w:rPr>
        <w:t>加快</w:t>
      </w:r>
      <w:r>
        <w:rPr>
          <w:rFonts w:hint="eastAsia"/>
          <w:b/>
          <w:bCs/>
          <w:lang w:val="en-US" w:eastAsia="zh-CN"/>
        </w:rPr>
        <w:t>培育</w:t>
      </w:r>
      <w:r>
        <w:rPr>
          <w:rFonts w:hint="eastAsia"/>
          <w:b/>
          <w:bCs/>
        </w:rPr>
        <w:t>金融服务业。</w:t>
      </w:r>
      <w:r>
        <w:rPr>
          <w:rFonts w:hint="eastAsia"/>
        </w:rPr>
        <w:t>依托行政中心区、北站周边商务楼宇资源，积极引进股份制银行、城市商业银行、农村商业银行的区域总部或分支机构落位发展。</w:t>
      </w:r>
    </w:p>
    <w:p w14:paraId="49C6C8F2">
      <w:pPr>
        <w:bidi w:val="0"/>
        <w:rPr>
          <w:rFonts w:hint="eastAsia"/>
        </w:rPr>
      </w:pPr>
      <w:r>
        <w:rPr>
          <w:rFonts w:hint="eastAsia"/>
          <w:b/>
          <w:bCs/>
        </w:rPr>
        <w:t>积极发展人力资源服务业。</w:t>
      </w:r>
      <w:r>
        <w:rPr>
          <w:rFonts w:hint="eastAsia"/>
        </w:rPr>
        <w:t>推动</w:t>
      </w:r>
      <w:r>
        <w:rPr>
          <w:rFonts w:hint="eastAsia"/>
          <w:lang w:val="en-US" w:eastAsia="zh-CN"/>
        </w:rPr>
        <w:t>重点人力资源</w:t>
      </w:r>
      <w:r>
        <w:rPr>
          <w:rFonts w:hint="eastAsia"/>
        </w:rPr>
        <w:t>企业实现业务数据化、运营智能化，引导企业</w:t>
      </w:r>
      <w:r>
        <w:rPr>
          <w:rFonts w:hint="eastAsia"/>
          <w:lang w:eastAsia="zh-CN"/>
        </w:rPr>
        <w:t>向</w:t>
      </w:r>
      <w:r>
        <w:rPr>
          <w:rFonts w:hint="eastAsia"/>
        </w:rPr>
        <w:t>人才测评、管理咨询、薪酬设计、雇主品牌建设等价值链高端延伸。</w:t>
      </w:r>
    </w:p>
    <w:p w14:paraId="5CEF324A">
      <w:pPr>
        <w:bidi w:val="0"/>
        <w:rPr>
          <w:rFonts w:hint="eastAsia"/>
          <w:lang w:val="en-US" w:eastAsia="zh-CN"/>
        </w:rPr>
      </w:pPr>
      <w:r>
        <w:rPr>
          <w:rFonts w:hint="eastAsia"/>
          <w:b/>
          <w:bCs/>
          <w:lang w:val="en-US" w:eastAsia="zh-CN"/>
        </w:rPr>
        <w:t>引进培育</w:t>
      </w:r>
      <w:r>
        <w:rPr>
          <w:rFonts w:hint="eastAsia"/>
          <w:b/>
          <w:bCs/>
        </w:rPr>
        <w:t>软件信息和互联网服务业。</w:t>
      </w:r>
      <w:r>
        <w:rPr>
          <w:rFonts w:hint="eastAsia"/>
          <w:lang w:val="en-US" w:eastAsia="zh-CN"/>
        </w:rPr>
        <w:t>提升</w:t>
      </w:r>
      <w:r>
        <w:rPr>
          <w:rFonts w:hint="eastAsia"/>
        </w:rPr>
        <w:t>数据治理、算法研发、场景应用</w:t>
      </w:r>
      <w:r>
        <w:rPr>
          <w:rFonts w:hint="eastAsia"/>
          <w:lang w:val="en-US" w:eastAsia="zh-CN"/>
        </w:rPr>
        <w:t>的全产业链创新能力</w:t>
      </w:r>
      <w:r>
        <w:rPr>
          <w:rFonts w:hint="eastAsia"/>
        </w:rPr>
        <w:t>，</w:t>
      </w:r>
      <w:r>
        <w:rPr>
          <w:rFonts w:hint="eastAsia"/>
          <w:lang w:val="en-US" w:eastAsia="zh-CN"/>
        </w:rPr>
        <w:t>提高</w:t>
      </w:r>
      <w:r>
        <w:rPr>
          <w:rFonts w:hint="eastAsia"/>
        </w:rPr>
        <w:t>人工智能产业</w:t>
      </w:r>
      <w:r>
        <w:rPr>
          <w:rFonts w:hint="eastAsia"/>
          <w:lang w:val="en-US" w:eastAsia="zh-CN"/>
        </w:rPr>
        <w:t>竞争力</w:t>
      </w:r>
      <w:r>
        <w:rPr>
          <w:rFonts w:hint="eastAsia"/>
        </w:rPr>
        <w:t>。</w:t>
      </w:r>
      <w:r>
        <w:rPr>
          <w:rFonts w:hint="eastAsia"/>
          <w:lang w:val="en-US" w:eastAsia="zh-CN"/>
        </w:rPr>
        <w:t>引进网络安全企业，提升网络安全发展水平。</w:t>
      </w:r>
    </w:p>
    <w:p w14:paraId="2B13E292">
      <w:pPr>
        <w:pStyle w:val="3"/>
        <w:bidi w:val="0"/>
        <w:ind w:firstLine="0" w:firstLineChars="0"/>
        <w:outlineLvl w:val="1"/>
        <w:rPr>
          <w:rFonts w:hint="eastAsia"/>
        </w:rPr>
      </w:pPr>
      <w:bookmarkStart w:id="150" w:name="_Toc32760"/>
      <w:r>
        <w:rPr>
          <w:rFonts w:hint="eastAsia"/>
        </w:rPr>
        <w:t>第三节 推动农副产品精深加工及食品</w:t>
      </w:r>
      <w:r>
        <w:rPr>
          <w:rFonts w:hint="eastAsia"/>
          <w:lang w:val="en-US" w:eastAsia="zh-CN"/>
        </w:rPr>
        <w:t>工</w:t>
      </w:r>
      <w:r>
        <w:rPr>
          <w:rFonts w:hint="eastAsia"/>
        </w:rPr>
        <w:t>业做大做强</w:t>
      </w:r>
      <w:bookmarkEnd w:id="150"/>
    </w:p>
    <w:bookmarkEnd w:id="146"/>
    <w:bookmarkEnd w:id="147"/>
    <w:bookmarkEnd w:id="148"/>
    <w:bookmarkEnd w:id="149"/>
    <w:p w14:paraId="085CEAA5">
      <w:pPr>
        <w:bidi w:val="0"/>
        <w:rPr>
          <w:rFonts w:hint="eastAsia"/>
        </w:rPr>
      </w:pPr>
      <w:bookmarkStart w:id="151" w:name="_Toc211154001"/>
      <w:bookmarkStart w:id="152" w:name="_Toc28811"/>
      <w:bookmarkStart w:id="153" w:name="_Toc20838"/>
      <w:bookmarkStart w:id="154" w:name="_Toc28674"/>
      <w:r>
        <w:rPr>
          <w:rFonts w:hint="eastAsia"/>
          <w:b/>
          <w:bCs/>
          <w:lang w:eastAsia="zh-CN"/>
        </w:rPr>
        <w:t>全力</w:t>
      </w:r>
      <w:r>
        <w:rPr>
          <w:rFonts w:hint="eastAsia"/>
          <w:b/>
          <w:bCs/>
        </w:rPr>
        <w:t>发展油料精深加工业。</w:t>
      </w:r>
      <w:r>
        <w:rPr>
          <w:rFonts w:hint="eastAsia"/>
        </w:rPr>
        <w:t>建设区域性油脂储运中心</w:t>
      </w:r>
      <w:r>
        <w:rPr>
          <w:rFonts w:hint="eastAsia"/>
          <w:lang w:eastAsia="zh-CN"/>
        </w:rPr>
        <w:t>，形成“</w:t>
      </w:r>
      <w:r>
        <w:rPr>
          <w:rFonts w:hint="eastAsia"/>
        </w:rPr>
        <w:t>储运+加工+配送</w:t>
      </w:r>
      <w:r>
        <w:rPr>
          <w:rFonts w:hint="eastAsia"/>
          <w:lang w:eastAsia="zh-CN"/>
        </w:rPr>
        <w:t>”</w:t>
      </w:r>
      <w:r>
        <w:rPr>
          <w:rFonts w:hint="eastAsia"/>
        </w:rPr>
        <w:t>一体化布局</w:t>
      </w:r>
      <w:r>
        <w:rPr>
          <w:rFonts w:hint="eastAsia"/>
          <w:lang w:eastAsia="zh-CN"/>
        </w:rPr>
        <w:t>，横向联动哈尔滨、沈阳形成粮油产业集聚带</w:t>
      </w:r>
      <w:r>
        <w:rPr>
          <w:rFonts w:hint="eastAsia"/>
        </w:rPr>
        <w:t>。</w:t>
      </w:r>
    </w:p>
    <w:p w14:paraId="1B94145D">
      <w:pPr>
        <w:bidi w:val="0"/>
        <w:rPr>
          <w:rFonts w:hint="eastAsia"/>
        </w:rPr>
      </w:pPr>
      <w:r>
        <w:rPr>
          <w:rFonts w:hint="eastAsia"/>
          <w:b/>
          <w:bCs/>
        </w:rPr>
        <w:t>拓宽提升饲料加工业。</w:t>
      </w:r>
      <w:r>
        <w:rPr>
          <w:rFonts w:hint="eastAsia"/>
          <w:lang w:eastAsia="zh-CN"/>
        </w:rPr>
        <w:t>充分利用豆粕资源，开发</w:t>
      </w:r>
      <w:r>
        <w:rPr>
          <w:rFonts w:hint="eastAsia"/>
        </w:rPr>
        <w:t>生物活性肽饲料添加剂、</w:t>
      </w:r>
      <w:r>
        <w:rPr>
          <w:rFonts w:hint="eastAsia"/>
          <w:lang w:eastAsia="zh-CN"/>
        </w:rPr>
        <w:t>发酵豆粕</w:t>
      </w:r>
      <w:r>
        <w:rPr>
          <w:rFonts w:hint="eastAsia"/>
        </w:rPr>
        <w:t>等产品</w:t>
      </w:r>
      <w:r>
        <w:rPr>
          <w:rFonts w:hint="eastAsia"/>
          <w:lang w:eastAsia="zh-CN"/>
        </w:rPr>
        <w:t>，</w:t>
      </w:r>
      <w:r>
        <w:rPr>
          <w:rFonts w:hint="eastAsia"/>
        </w:rPr>
        <w:t>推动生物饲料、有机肥等关联产业发展。</w:t>
      </w:r>
    </w:p>
    <w:p w14:paraId="3DFB2E71">
      <w:pPr>
        <w:bidi w:val="0"/>
        <w:rPr>
          <w:rFonts w:hint="eastAsia"/>
        </w:rPr>
      </w:pPr>
      <w:r>
        <w:rPr>
          <w:rFonts w:hint="eastAsia"/>
          <w:b/>
          <w:bCs/>
        </w:rPr>
        <w:t>培育壮大</w:t>
      </w:r>
      <w:r>
        <w:rPr>
          <w:rFonts w:hint="eastAsia"/>
          <w:b/>
          <w:bCs/>
          <w:lang w:val="en-US" w:eastAsia="zh-CN"/>
        </w:rPr>
        <w:t>特色</w:t>
      </w:r>
      <w:r>
        <w:rPr>
          <w:rFonts w:hint="eastAsia"/>
          <w:b/>
          <w:bCs/>
        </w:rPr>
        <w:t>食品</w:t>
      </w:r>
      <w:r>
        <w:rPr>
          <w:rFonts w:hint="eastAsia"/>
          <w:b/>
          <w:bCs/>
          <w:lang w:val="en-US" w:eastAsia="zh-CN"/>
        </w:rPr>
        <w:t>加工</w:t>
      </w:r>
      <w:r>
        <w:rPr>
          <w:rFonts w:hint="eastAsia"/>
          <w:b/>
          <w:bCs/>
        </w:rPr>
        <w:t>业。</w:t>
      </w:r>
      <w:r>
        <w:rPr>
          <w:rFonts w:hint="eastAsia"/>
        </w:rPr>
        <w:t>依托开发区</w:t>
      </w:r>
      <w:r>
        <w:rPr>
          <w:rFonts w:hint="eastAsia"/>
          <w:lang w:val="en-US" w:eastAsia="zh-CN"/>
        </w:rPr>
        <w:t>建设特色</w:t>
      </w:r>
      <w:r>
        <w:rPr>
          <w:rFonts w:hint="eastAsia"/>
        </w:rPr>
        <w:t>产业园区，发挥</w:t>
      </w:r>
      <w:r>
        <w:rPr>
          <w:rFonts w:hint="eastAsia"/>
          <w:lang w:val="en-US" w:eastAsia="zh-CN"/>
        </w:rPr>
        <w:t>域内调味品</w:t>
      </w:r>
      <w:r>
        <w:rPr>
          <w:rFonts w:hint="eastAsia"/>
        </w:rPr>
        <w:t>龙头企业</w:t>
      </w:r>
      <w:r>
        <w:rPr>
          <w:rFonts w:hint="eastAsia"/>
          <w:lang w:val="en-US" w:eastAsia="zh-CN"/>
        </w:rPr>
        <w:t>带动作用</w:t>
      </w:r>
      <w:r>
        <w:rPr>
          <w:rFonts w:hint="eastAsia"/>
        </w:rPr>
        <w:t>，推动调味品</w:t>
      </w:r>
      <w:r>
        <w:rPr>
          <w:rFonts w:hint="eastAsia"/>
          <w:lang w:eastAsia="zh-CN"/>
        </w:rPr>
        <w:t>、</w:t>
      </w:r>
      <w:r>
        <w:rPr>
          <w:rFonts w:hint="eastAsia"/>
          <w:lang w:val="en-US" w:eastAsia="zh-CN"/>
        </w:rPr>
        <w:t>休闲食品向地域</w:t>
      </w:r>
      <w:r>
        <w:rPr>
          <w:rFonts w:hint="eastAsia"/>
        </w:rPr>
        <w:t>IP化</w:t>
      </w:r>
      <w:r>
        <w:rPr>
          <w:rFonts w:hint="eastAsia"/>
          <w:lang w:val="en-US" w:eastAsia="zh-CN"/>
        </w:rPr>
        <w:t>发展</w:t>
      </w:r>
      <w:r>
        <w:rPr>
          <w:rFonts w:hint="eastAsia"/>
        </w:rPr>
        <w:t>。</w:t>
      </w:r>
    </w:p>
    <w:p w14:paraId="43D466F3">
      <w:pPr>
        <w:pStyle w:val="3"/>
        <w:spacing w:before="156" w:after="156" w:line="600" w:lineRule="exact"/>
        <w:ind w:firstLine="0" w:firstLineChars="0"/>
        <w:outlineLvl w:val="1"/>
        <w:rPr>
          <w:color w:val="000000" w:themeColor="text1"/>
          <w14:textFill>
            <w14:solidFill>
              <w14:schemeClr w14:val="tx1"/>
            </w14:solidFill>
          </w14:textFill>
        </w:rPr>
      </w:pPr>
      <w:bookmarkStart w:id="155" w:name="_Toc6406"/>
      <w:r>
        <w:rPr>
          <w:rFonts w:hint="eastAsia"/>
          <w:color w:val="000000" w:themeColor="text1"/>
          <w14:textFill>
            <w14:solidFill>
              <w14:schemeClr w14:val="tx1"/>
            </w14:solidFill>
          </w14:textFill>
        </w:rPr>
        <w:t>第四节 推动循环经济产业不断壮大</w:t>
      </w:r>
      <w:bookmarkEnd w:id="151"/>
      <w:bookmarkEnd w:id="152"/>
      <w:bookmarkEnd w:id="153"/>
      <w:bookmarkEnd w:id="154"/>
      <w:bookmarkEnd w:id="155"/>
    </w:p>
    <w:p w14:paraId="0963C9B8">
      <w:pPr>
        <w:bidi w:val="0"/>
        <w:rPr>
          <w:rFonts w:hint="eastAsia"/>
        </w:rPr>
      </w:pPr>
      <w:bookmarkStart w:id="156" w:name="_Toc211154002"/>
      <w:bookmarkStart w:id="157" w:name="_Toc19299"/>
      <w:bookmarkStart w:id="158" w:name="_Toc11810"/>
      <w:bookmarkStart w:id="159" w:name="_Toc15647"/>
      <w:r>
        <w:rPr>
          <w:rFonts w:hint="eastAsia"/>
          <w:b/>
          <w:bCs/>
        </w:rPr>
        <w:t>做大</w:t>
      </w:r>
      <w:r>
        <w:rPr>
          <w:rFonts w:hint="eastAsia"/>
          <w:b/>
          <w:bCs/>
          <w:lang w:val="en-US" w:eastAsia="zh-CN"/>
        </w:rPr>
        <w:t>报废汽车</w:t>
      </w:r>
      <w:r>
        <w:rPr>
          <w:rFonts w:hint="eastAsia"/>
          <w:b/>
          <w:bCs/>
        </w:rPr>
        <w:t>循环利用产业链</w:t>
      </w:r>
      <w:r>
        <w:rPr>
          <w:rFonts w:hint="eastAsia"/>
          <w:b/>
          <w:bCs/>
          <w:lang w:eastAsia="zh-CN"/>
        </w:rPr>
        <w:t>。</w:t>
      </w:r>
      <w:r>
        <w:rPr>
          <w:rFonts w:hint="eastAsia"/>
        </w:rPr>
        <w:t>加快新能源汽车拆解线、拆车件转化利用等</w:t>
      </w:r>
      <w:r>
        <w:rPr>
          <w:rFonts w:hint="eastAsia"/>
          <w:lang w:val="en-US" w:eastAsia="zh-CN"/>
        </w:rPr>
        <w:t>项目</w:t>
      </w:r>
      <w:r>
        <w:rPr>
          <w:rFonts w:hint="eastAsia"/>
        </w:rPr>
        <w:t>建设</w:t>
      </w:r>
      <w:r>
        <w:rPr>
          <w:rFonts w:hint="eastAsia"/>
          <w:lang w:eastAsia="zh-CN"/>
        </w:rPr>
        <w:t>，</w:t>
      </w:r>
      <w:r>
        <w:rPr>
          <w:rFonts w:hint="eastAsia"/>
          <w:lang w:val="en-US" w:eastAsia="zh-CN"/>
        </w:rPr>
        <w:t>发展</w:t>
      </w:r>
      <w:r>
        <w:rPr>
          <w:rFonts w:hint="eastAsia"/>
        </w:rPr>
        <w:t>废旧电池、废旧轮胎等系统化回收利用</w:t>
      </w:r>
      <w:r>
        <w:rPr>
          <w:rFonts w:hint="eastAsia"/>
          <w:lang w:val="en-US" w:eastAsia="zh-CN"/>
        </w:rPr>
        <w:t>产业</w:t>
      </w:r>
      <w:r>
        <w:rPr>
          <w:rFonts w:hint="eastAsia"/>
        </w:rPr>
        <w:t>，</w:t>
      </w:r>
      <w:r>
        <w:rPr>
          <w:rFonts w:hint="eastAsia"/>
          <w:lang w:val="en-US" w:eastAsia="zh-CN"/>
        </w:rPr>
        <w:t>提升</w:t>
      </w:r>
      <w:r>
        <w:rPr>
          <w:rFonts w:hint="eastAsia"/>
        </w:rPr>
        <w:t>金属</w:t>
      </w:r>
      <w:r>
        <w:rPr>
          <w:rFonts w:hint="eastAsia"/>
          <w:lang w:val="en-US" w:eastAsia="zh-CN"/>
        </w:rPr>
        <w:t>和非金属</w:t>
      </w:r>
      <w:r>
        <w:rPr>
          <w:rFonts w:hint="eastAsia"/>
        </w:rPr>
        <w:t>产业链</w:t>
      </w:r>
      <w:r>
        <w:rPr>
          <w:rFonts w:hint="eastAsia"/>
          <w:lang w:val="en-US" w:eastAsia="zh-CN"/>
        </w:rPr>
        <w:t>效能</w:t>
      </w:r>
      <w:r>
        <w:rPr>
          <w:rFonts w:hint="eastAsia"/>
        </w:rPr>
        <w:t>。</w:t>
      </w:r>
    </w:p>
    <w:p w14:paraId="0053F67F">
      <w:pPr>
        <w:bidi w:val="0"/>
        <w:rPr>
          <w:rFonts w:hint="eastAsia"/>
        </w:rPr>
      </w:pPr>
      <w:r>
        <w:rPr>
          <w:rFonts w:hint="eastAsia"/>
          <w:b/>
          <w:bCs/>
        </w:rPr>
        <w:t>做强城市资源循环产业链。</w:t>
      </w:r>
      <w:r>
        <w:rPr>
          <w:rFonts w:hint="eastAsia"/>
          <w:lang w:val="en-US" w:eastAsia="zh-CN"/>
        </w:rPr>
        <w:t>打造城市资源循环产业集聚，</w:t>
      </w:r>
      <w:r>
        <w:rPr>
          <w:rFonts w:hint="eastAsia"/>
        </w:rPr>
        <w:t>提升城市生活垃圾、建筑垃圾消纳能力。</w:t>
      </w:r>
    </w:p>
    <w:p w14:paraId="45DD68E8">
      <w:pPr>
        <w:bidi w:val="0"/>
        <w:rPr>
          <w:rFonts w:hint="eastAsia"/>
          <w:lang w:val="en-US" w:eastAsia="zh-CN"/>
        </w:rPr>
      </w:pPr>
      <w:r>
        <w:rPr>
          <w:rFonts w:hint="eastAsia"/>
          <w:b/>
          <w:bCs/>
          <w:lang w:val="en-US" w:eastAsia="zh-CN"/>
        </w:rPr>
        <w:t>做优废旧家电电子产品循环产业链。</w:t>
      </w:r>
      <w:r>
        <w:rPr>
          <w:rFonts w:hint="eastAsia"/>
          <w:lang w:val="en-US" w:eastAsia="zh-CN"/>
        </w:rPr>
        <w:t>拓展废旧家电拆解线，推动废金属、电子元件等资源高效回收，构建“回收-分拣-利用”全链条体系。</w:t>
      </w:r>
    </w:p>
    <w:p w14:paraId="03EFF10F">
      <w:pPr>
        <w:pStyle w:val="3"/>
        <w:spacing w:before="156" w:after="156"/>
        <w:ind w:firstLine="0" w:firstLineChars="0"/>
        <w:outlineLvl w:val="1"/>
        <w:rPr>
          <w:color w:val="000000" w:themeColor="text1"/>
          <w14:textFill>
            <w14:solidFill>
              <w14:schemeClr w14:val="tx1"/>
            </w14:solidFill>
          </w14:textFill>
        </w:rPr>
      </w:pPr>
      <w:bookmarkStart w:id="160" w:name="_Toc29977"/>
      <w:r>
        <w:rPr>
          <w:rFonts w:hint="eastAsia"/>
          <w:color w:val="000000" w:themeColor="text1"/>
          <w14:textFill>
            <w14:solidFill>
              <w14:schemeClr w14:val="tx1"/>
            </w14:solidFill>
          </w14:textFill>
        </w:rPr>
        <w:t>第五节 推动文化旅游业深耕厚植</w:t>
      </w:r>
      <w:bookmarkEnd w:id="156"/>
      <w:bookmarkEnd w:id="157"/>
      <w:bookmarkEnd w:id="158"/>
      <w:bookmarkEnd w:id="159"/>
      <w:bookmarkEnd w:id="160"/>
      <w:bookmarkStart w:id="161" w:name="_Toc3956"/>
      <w:bookmarkStart w:id="162" w:name="_Toc1187068068"/>
      <w:bookmarkStart w:id="163" w:name="_Toc874571182"/>
      <w:bookmarkStart w:id="164" w:name="_Toc12746"/>
      <w:bookmarkStart w:id="165" w:name="_Toc1069849150"/>
      <w:bookmarkStart w:id="166" w:name="_Toc1507344099"/>
      <w:bookmarkStart w:id="167" w:name="_Toc9648"/>
      <w:bookmarkStart w:id="168" w:name="_Toc1270011119"/>
      <w:bookmarkStart w:id="169" w:name="_Toc28208"/>
      <w:bookmarkStart w:id="170" w:name="_Toc315343879"/>
    </w:p>
    <w:p w14:paraId="55691B5A">
      <w:pPr>
        <w:spacing w:line="600" w:lineRule="exact"/>
        <w:rPr>
          <w:rFonts w:hint="eastAsia"/>
        </w:rPr>
      </w:pPr>
      <w:r>
        <w:rPr>
          <w:rFonts w:hint="eastAsia"/>
          <w:b/>
          <w:bCs/>
        </w:rPr>
        <w:t>深化历史文化街区保护</w:t>
      </w:r>
      <w:r>
        <w:rPr>
          <w:rFonts w:hint="eastAsia"/>
          <w:b/>
          <w:bCs/>
          <w:lang w:val="en-US" w:eastAsia="zh-CN"/>
        </w:rPr>
        <w:t>开发</w:t>
      </w:r>
      <w:r>
        <w:rPr>
          <w:rFonts w:hint="eastAsia"/>
          <w:b/>
          <w:bCs/>
        </w:rPr>
        <w:t>。</w:t>
      </w:r>
      <w:r>
        <w:rPr>
          <w:rFonts w:hint="eastAsia"/>
        </w:rPr>
        <w:t>加快推动人民大街北段、南广场周边等历史文化街区的城市更新</w:t>
      </w:r>
      <w:r>
        <w:rPr>
          <w:rFonts w:hint="eastAsia"/>
          <w:lang w:eastAsia="zh-CN"/>
        </w:rPr>
        <w:t>，</w:t>
      </w:r>
      <w:r>
        <w:rPr>
          <w:rFonts w:hint="eastAsia"/>
          <w:lang w:val="en-US" w:eastAsia="zh-CN"/>
        </w:rPr>
        <w:t>加大文物建筑修缮保护利用。引进时尚产业、艺术音乐、文化体育等业态</w:t>
      </w:r>
      <w:r>
        <w:rPr>
          <w:rFonts w:hint="eastAsia"/>
        </w:rPr>
        <w:t>，打造一批城市漫步街区和网红</w:t>
      </w:r>
      <w:r>
        <w:rPr>
          <w:rFonts w:hint="eastAsia"/>
          <w:lang w:val="en-US" w:eastAsia="zh-CN"/>
        </w:rPr>
        <w:t>打卡地</w:t>
      </w:r>
      <w:r>
        <w:rPr>
          <w:rFonts w:hint="eastAsia"/>
        </w:rPr>
        <w:t>，不断提升</w:t>
      </w:r>
      <w:r>
        <w:rPr>
          <w:rFonts w:hint="eastAsia"/>
          <w:lang w:val="en-US" w:eastAsia="zh-CN"/>
        </w:rPr>
        <w:t>区域</w:t>
      </w:r>
      <w:r>
        <w:rPr>
          <w:rFonts w:hint="eastAsia"/>
        </w:rPr>
        <w:t>文旅知名度。</w:t>
      </w:r>
    </w:p>
    <w:p w14:paraId="18DBC89F">
      <w:pPr>
        <w:bidi w:val="0"/>
        <w:rPr>
          <w:rFonts w:hint="eastAsia"/>
          <w:lang w:eastAsia="zh-CN"/>
        </w:rPr>
      </w:pPr>
      <w:r>
        <w:rPr>
          <w:rFonts w:hint="eastAsia"/>
          <w:b/>
          <w:bCs/>
        </w:rPr>
        <w:t>开发文化旅游精品线路。</w:t>
      </w:r>
      <w:r>
        <w:rPr>
          <w:rFonts w:hint="eastAsia"/>
        </w:rPr>
        <w:t>突出“</w:t>
      </w:r>
      <w:r>
        <w:rPr>
          <w:rFonts w:hint="eastAsia"/>
          <w:lang w:val="en-US" w:eastAsia="zh-CN"/>
        </w:rPr>
        <w:t>历史文化</w:t>
      </w:r>
      <w:r>
        <w:rPr>
          <w:rFonts w:hint="eastAsia"/>
        </w:rPr>
        <w:t>与红色记忆”主题，</w:t>
      </w:r>
      <w:r>
        <w:rPr>
          <w:rFonts w:hint="eastAsia"/>
          <w:lang w:val="en-US" w:eastAsia="zh-CN"/>
        </w:rPr>
        <w:t>将</w:t>
      </w:r>
      <w:r>
        <w:rPr>
          <w:rFonts w:hint="eastAsia"/>
        </w:rPr>
        <w:t>伪满皇宫</w:t>
      </w:r>
      <w:r>
        <w:rPr>
          <w:rFonts w:hint="eastAsia"/>
          <w:lang w:val="en-US" w:eastAsia="zh-CN"/>
        </w:rPr>
        <w:t>博物院</w:t>
      </w:r>
      <w:r>
        <w:rPr>
          <w:rFonts w:hint="eastAsia"/>
        </w:rPr>
        <w:t>、</w:t>
      </w:r>
      <w:r>
        <w:rPr>
          <w:rFonts w:hint="eastAsia"/>
          <w:lang w:val="en-US" w:eastAsia="zh-CN"/>
        </w:rPr>
        <w:t>中东铁路遗址、</w:t>
      </w:r>
      <w:r>
        <w:rPr>
          <w:rFonts w:hint="eastAsia"/>
        </w:rPr>
        <w:t>二道沟邮局</w:t>
      </w:r>
      <w:r>
        <w:rPr>
          <w:rFonts w:hint="eastAsia"/>
          <w:lang w:val="en-US" w:eastAsia="zh-CN"/>
        </w:rPr>
        <w:t>等串点成线，打造旅游</w:t>
      </w:r>
      <w:r>
        <w:rPr>
          <w:rFonts w:hint="eastAsia"/>
        </w:rPr>
        <w:t>参观路线</w:t>
      </w:r>
      <w:r>
        <w:rPr>
          <w:rFonts w:hint="eastAsia"/>
          <w:lang w:eastAsia="zh-CN"/>
        </w:rPr>
        <w:t>。</w:t>
      </w:r>
    </w:p>
    <w:p w14:paraId="70DBB1DE">
      <w:pPr>
        <w:bidi w:val="0"/>
      </w:pPr>
      <w:r>
        <w:rPr>
          <w:rFonts w:hint="eastAsia"/>
          <w:b/>
          <w:bCs/>
          <w:lang w:val="en-US" w:eastAsia="zh-CN"/>
        </w:rPr>
        <w:t>推进</w:t>
      </w:r>
      <w:r>
        <w:rPr>
          <w:rFonts w:hint="eastAsia"/>
          <w:b/>
          <w:bCs/>
        </w:rPr>
        <w:t>文旅商融合发展</w:t>
      </w:r>
      <w:r>
        <w:rPr>
          <w:rFonts w:hint="eastAsia"/>
          <w:b/>
          <w:bCs/>
          <w:lang w:eastAsia="zh-CN"/>
        </w:rPr>
        <w:t>。</w:t>
      </w:r>
      <w:r>
        <w:rPr>
          <w:rFonts w:hint="eastAsia"/>
          <w:lang w:val="en-US" w:eastAsia="zh-CN"/>
        </w:rPr>
        <w:t>引进商业、餐饮、文创等新兴业态，借助</w:t>
      </w:r>
      <w:r>
        <w:rPr>
          <w:rFonts w:hint="eastAsia"/>
        </w:rPr>
        <w:t>传统节庆、民俗节气、历史纪念日等节点，构建“四季有主题、月月有活动”节庆体系，打造文旅消费新增长极。</w:t>
      </w:r>
    </w:p>
    <w:p w14:paraId="7C9205EF">
      <w:pPr>
        <w:pStyle w:val="3"/>
        <w:spacing w:before="156" w:after="156" w:line="600" w:lineRule="exact"/>
        <w:ind w:firstLine="0" w:firstLineChars="0"/>
        <w:outlineLvl w:val="1"/>
        <w:rPr>
          <w:color w:val="000000" w:themeColor="text1"/>
          <w14:textFill>
            <w14:solidFill>
              <w14:schemeClr w14:val="tx1"/>
            </w14:solidFill>
          </w14:textFill>
        </w:rPr>
      </w:pPr>
      <w:bookmarkStart w:id="171" w:name="_Toc953626317"/>
      <w:bookmarkStart w:id="172" w:name="_Toc894466701"/>
      <w:bookmarkStart w:id="173" w:name="_Toc2033178202"/>
      <w:bookmarkStart w:id="174" w:name="_Toc1795137154"/>
      <w:bookmarkStart w:id="175" w:name="_Toc686551188"/>
      <w:bookmarkStart w:id="176" w:name="_Toc19337"/>
      <w:bookmarkStart w:id="177" w:name="_Toc9332"/>
      <w:bookmarkStart w:id="178" w:name="_Toc393561466"/>
      <w:bookmarkStart w:id="179" w:name="_Toc1423958331"/>
      <w:bookmarkStart w:id="180" w:name="_Toc9754"/>
      <w:bookmarkStart w:id="181" w:name="_Toc211154003"/>
      <w:bookmarkStart w:id="182" w:name="_Toc26012"/>
      <w:r>
        <w:rPr>
          <w:rFonts w:hint="eastAsia"/>
          <w:color w:val="000000" w:themeColor="text1"/>
          <w14:textFill>
            <w14:solidFill>
              <w14:schemeClr w14:val="tx1"/>
            </w14:solidFill>
          </w14:textFill>
        </w:rPr>
        <w:t>第六节 培育壮大新质生产力</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hint="eastAsia"/>
          <w:color w:val="000000" w:themeColor="text1"/>
          <w14:textFill>
            <w14:solidFill>
              <w14:schemeClr w14:val="tx1"/>
            </w14:solidFill>
          </w14:textFill>
        </w:rPr>
        <w:t>“五新赛道”</w:t>
      </w:r>
      <w:bookmarkEnd w:id="182"/>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3C155F19">
      <w:pPr>
        <w:pBdr>
          <w:bottom w:val="single" w:color="FFFFFF" w:sz="4" w:space="24"/>
        </w:pBdr>
        <w:overflowPunct w:val="0"/>
        <w:autoSpaceDE w:val="0"/>
        <w:autoSpaceDN w:val="0"/>
        <w:spacing w:line="600" w:lineRule="exact"/>
        <w:rPr>
          <w:rFonts w:hint="eastAsia" w:ascii="仿宋_GB2312" w:eastAsia="仿宋_GB2312"/>
        </w:rPr>
      </w:pPr>
      <w:bookmarkStart w:id="183" w:name="_Toc211154006"/>
      <w:bookmarkStart w:id="184" w:name="_Toc5758"/>
      <w:bookmarkStart w:id="185" w:name="_Toc31170"/>
      <w:bookmarkStart w:id="186" w:name="_Toc14960"/>
      <w:bookmarkStart w:id="187" w:name="_Toc1615"/>
      <w:bookmarkStart w:id="188" w:name="_Toc14311"/>
      <w:bookmarkStart w:id="189" w:name="_Toc11683"/>
      <w:bookmarkStart w:id="190" w:name="_Toc184772166"/>
      <w:bookmarkStart w:id="191" w:name="_Toc22289"/>
      <w:bookmarkStart w:id="192" w:name="_Toc1754"/>
      <w:bookmarkStart w:id="193" w:name="_Toc1908486946"/>
      <w:bookmarkStart w:id="194" w:name="_Toc1351776550"/>
      <w:bookmarkStart w:id="195" w:name="_Toc480969192"/>
      <w:bookmarkStart w:id="196" w:name="_Toc857795010"/>
      <w:bookmarkStart w:id="197" w:name="_Toc835269587"/>
      <w:bookmarkStart w:id="198" w:name="_Toc2070424869"/>
      <w:r>
        <w:rPr>
          <w:rFonts w:hint="eastAsia" w:ascii="仿宋_GB2312" w:eastAsia="仿宋_GB2312"/>
          <w:b/>
          <w:bCs/>
        </w:rPr>
        <w:t>培育绿色新能源产业。</w:t>
      </w:r>
      <w:r>
        <w:rPr>
          <w:rFonts w:hint="eastAsia" w:ascii="仿宋_GB2312" w:eastAsia="仿宋_GB2312"/>
        </w:rPr>
        <w:t>积极</w:t>
      </w:r>
      <w:r>
        <w:rPr>
          <w:rFonts w:hint="eastAsia"/>
          <w:lang w:val="en-US" w:eastAsia="zh-CN"/>
        </w:rPr>
        <w:t>探索</w:t>
      </w:r>
      <w:r>
        <w:rPr>
          <w:rFonts w:hint="eastAsia" w:ascii="仿宋_GB2312" w:eastAsia="仿宋_GB2312"/>
        </w:rPr>
        <w:t>“绿电+消纳”模式，</w:t>
      </w:r>
      <w:r>
        <w:rPr>
          <w:rFonts w:hint="eastAsia"/>
          <w:lang w:val="en-US" w:eastAsia="zh-CN"/>
        </w:rPr>
        <w:t>探索推进绿电直供</w:t>
      </w:r>
      <w:r>
        <w:rPr>
          <w:rFonts w:hint="eastAsia" w:ascii="仿宋_GB2312" w:eastAsia="仿宋_GB2312"/>
        </w:rPr>
        <w:t>，不断提升绿电使用比例。</w:t>
      </w:r>
      <w:bookmarkStart w:id="199" w:name="_Toc28475"/>
      <w:bookmarkStart w:id="200" w:name="_Toc21874"/>
    </w:p>
    <w:p w14:paraId="33B4F898">
      <w:pPr>
        <w:pBdr>
          <w:bottom w:val="single" w:color="FFFFFF" w:sz="4" w:space="24"/>
        </w:pBdr>
        <w:overflowPunct w:val="0"/>
        <w:autoSpaceDE w:val="0"/>
        <w:autoSpaceDN w:val="0"/>
        <w:spacing w:line="600" w:lineRule="exact"/>
        <w:rPr>
          <w:rFonts w:hint="eastAsia" w:ascii="仿宋_GB2312" w:eastAsia="仿宋_GB2312"/>
          <w:b w:val="0"/>
          <w:bCs w:val="0"/>
          <w:color w:val="auto"/>
        </w:rPr>
      </w:pPr>
      <w:r>
        <w:rPr>
          <w:rFonts w:hint="eastAsia" w:ascii="仿宋_GB2312" w:eastAsia="仿宋_GB2312"/>
          <w:b/>
          <w:bCs/>
          <w:color w:val="auto"/>
        </w:rPr>
        <w:t>培育银发经济产业</w:t>
      </w:r>
      <w:bookmarkEnd w:id="199"/>
      <w:r>
        <w:rPr>
          <w:rFonts w:hint="eastAsia" w:ascii="仿宋_GB2312" w:eastAsia="仿宋_GB2312"/>
          <w:b/>
          <w:bCs/>
          <w:color w:val="auto"/>
        </w:rPr>
        <w:t>。</w:t>
      </w:r>
      <w:r>
        <w:rPr>
          <w:rFonts w:hint="eastAsia" w:ascii="仿宋_GB2312" w:eastAsia="仿宋_GB2312"/>
          <w:b w:val="0"/>
          <w:bCs w:val="0"/>
          <w:color w:val="auto"/>
        </w:rPr>
        <w:t>借助图书馆、文化馆等载体</w:t>
      </w:r>
      <w:r>
        <w:rPr>
          <w:rFonts w:hint="eastAsia" w:ascii="仿宋_GB2312"/>
          <w:b w:val="0"/>
          <w:bCs w:val="0"/>
          <w:color w:val="auto"/>
          <w:lang w:eastAsia="zh-CN"/>
        </w:rPr>
        <w:t>，</w:t>
      </w:r>
      <w:r>
        <w:rPr>
          <w:rFonts w:hint="eastAsia" w:ascii="仿宋_GB2312" w:eastAsia="仿宋_GB2312"/>
          <w:b w:val="0"/>
          <w:bCs w:val="0"/>
          <w:color w:val="auto"/>
        </w:rPr>
        <w:t>打造“老年文化艺术节”特色品牌。通过新建改建、盘活闲置资源等方式，加强老年助餐服务场所建设。</w:t>
      </w:r>
      <w:bookmarkStart w:id="201" w:name="_Toc6629"/>
    </w:p>
    <w:p w14:paraId="188677D9">
      <w:pPr>
        <w:pBdr>
          <w:bottom w:val="single" w:color="FFFFFF" w:sz="4" w:space="24"/>
        </w:pBdr>
        <w:overflowPunct w:val="0"/>
        <w:autoSpaceDE w:val="0"/>
        <w:autoSpaceDN w:val="0"/>
        <w:spacing w:line="600" w:lineRule="exact"/>
        <w:rPr>
          <w:rFonts w:hint="eastAsia" w:ascii="仿宋_GB2312" w:eastAsia="仿宋_GB2312"/>
          <w:b w:val="0"/>
          <w:bCs w:val="0"/>
        </w:rPr>
      </w:pPr>
      <w:r>
        <w:rPr>
          <w:rFonts w:hint="eastAsia" w:ascii="仿宋_GB2312" w:eastAsia="仿宋_GB2312"/>
          <w:b/>
          <w:bCs/>
        </w:rPr>
        <w:t>培育数字经济产业</w:t>
      </w:r>
      <w:bookmarkEnd w:id="200"/>
      <w:bookmarkEnd w:id="201"/>
      <w:r>
        <w:rPr>
          <w:rFonts w:hint="eastAsia" w:ascii="仿宋_GB2312" w:eastAsia="仿宋_GB2312"/>
          <w:b/>
          <w:bCs/>
        </w:rPr>
        <w:t>。</w:t>
      </w:r>
      <w:r>
        <w:rPr>
          <w:rFonts w:hint="eastAsia"/>
          <w:b w:val="0"/>
          <w:bCs w:val="0"/>
          <w:lang w:val="en-US" w:eastAsia="zh-CN"/>
        </w:rPr>
        <w:t>探索</w:t>
      </w:r>
      <w:r>
        <w:rPr>
          <w:rFonts w:hint="eastAsia" w:ascii="仿宋_GB2312" w:eastAsia="仿宋_GB2312"/>
          <w:b w:val="0"/>
          <w:bCs w:val="0"/>
        </w:rPr>
        <w:t>人工智能技术在智能制造、智慧医疗、科教文</w:t>
      </w:r>
      <w:r>
        <w:rPr>
          <w:rFonts w:hint="eastAsia" w:ascii="仿宋_GB2312"/>
          <w:b w:val="0"/>
          <w:bCs w:val="0"/>
          <w:lang w:val="en-US" w:eastAsia="zh-CN"/>
        </w:rPr>
        <w:t>卫</w:t>
      </w:r>
      <w:r>
        <w:rPr>
          <w:rFonts w:hint="eastAsia" w:ascii="仿宋_GB2312" w:eastAsia="仿宋_GB2312"/>
          <w:b w:val="0"/>
          <w:bCs w:val="0"/>
        </w:rPr>
        <w:t>、城市管理等</w:t>
      </w:r>
      <w:r>
        <w:rPr>
          <w:rFonts w:hint="eastAsia" w:ascii="仿宋_GB2312"/>
          <w:b w:val="0"/>
          <w:bCs w:val="0"/>
          <w:lang w:val="en-US" w:eastAsia="zh-CN"/>
        </w:rPr>
        <w:t>重点</w:t>
      </w:r>
      <w:r>
        <w:rPr>
          <w:rFonts w:hint="eastAsia" w:ascii="仿宋_GB2312" w:eastAsia="仿宋_GB2312"/>
          <w:b w:val="0"/>
          <w:bCs w:val="0"/>
        </w:rPr>
        <w:t>领域场景应用。</w:t>
      </w:r>
      <w:bookmarkStart w:id="202" w:name="_Toc25441"/>
      <w:bookmarkStart w:id="203" w:name="_Toc3171"/>
    </w:p>
    <w:p w14:paraId="3D1F7FCC">
      <w:pPr>
        <w:pBdr>
          <w:bottom w:val="single" w:color="FFFFFF" w:sz="4" w:space="24"/>
        </w:pBdr>
        <w:overflowPunct w:val="0"/>
        <w:autoSpaceDE w:val="0"/>
        <w:autoSpaceDN w:val="0"/>
        <w:spacing w:line="600" w:lineRule="exact"/>
        <w:rPr>
          <w:rFonts w:hint="eastAsia" w:ascii="仿宋_GB2312" w:eastAsia="仿宋_GB2312"/>
        </w:rPr>
      </w:pPr>
      <w:r>
        <w:rPr>
          <w:rFonts w:hint="eastAsia" w:ascii="仿宋_GB2312" w:eastAsia="仿宋_GB2312"/>
          <w:b/>
          <w:bCs/>
        </w:rPr>
        <w:t>培育</w:t>
      </w:r>
      <w:r>
        <w:rPr>
          <w:rFonts w:hint="eastAsia"/>
          <w:b/>
          <w:bCs/>
          <w:lang w:val="en-US" w:eastAsia="zh-CN"/>
        </w:rPr>
        <w:t>壮大</w:t>
      </w:r>
      <w:r>
        <w:rPr>
          <w:rFonts w:hint="eastAsia" w:ascii="仿宋_GB2312" w:eastAsia="仿宋_GB2312"/>
          <w:b/>
          <w:bCs/>
        </w:rPr>
        <w:t>医药健康产业</w:t>
      </w:r>
      <w:bookmarkEnd w:id="202"/>
      <w:bookmarkEnd w:id="203"/>
      <w:r>
        <w:rPr>
          <w:rFonts w:hint="eastAsia" w:ascii="仿宋_GB2312" w:eastAsia="仿宋_GB2312"/>
          <w:b/>
          <w:bCs/>
        </w:rPr>
        <w:t>。</w:t>
      </w:r>
      <w:r>
        <w:rPr>
          <w:rFonts w:hint="eastAsia" w:ascii="仿宋_GB2312" w:eastAsia="仿宋_GB2312"/>
          <w:b w:val="0"/>
          <w:bCs w:val="0"/>
          <w:color w:val="auto"/>
        </w:rPr>
        <w:t>依托</w:t>
      </w:r>
      <w:r>
        <w:rPr>
          <w:rFonts w:hint="eastAsia"/>
          <w:b w:val="0"/>
          <w:bCs w:val="0"/>
          <w:color w:val="auto"/>
          <w:lang w:val="en-US" w:eastAsia="zh-CN"/>
        </w:rPr>
        <w:t>医药保健产品经销企业集聚资源</w:t>
      </w:r>
      <w:r>
        <w:rPr>
          <w:rFonts w:hint="eastAsia" w:ascii="仿宋_GB2312" w:eastAsia="仿宋_GB2312"/>
          <w:b w:val="0"/>
          <w:bCs w:val="0"/>
        </w:rPr>
        <w:t>，</w:t>
      </w:r>
      <w:r>
        <w:rPr>
          <w:rFonts w:hint="eastAsia"/>
          <w:b w:val="0"/>
          <w:bCs w:val="0"/>
          <w:lang w:val="en-US" w:eastAsia="zh-CN"/>
        </w:rPr>
        <w:t>引导规模企业向</w:t>
      </w:r>
      <w:r>
        <w:rPr>
          <w:rFonts w:hint="eastAsia" w:ascii="仿宋_GB2312" w:eastAsia="仿宋_GB2312"/>
        </w:rPr>
        <w:t>医疗器械、</w:t>
      </w:r>
      <w:r>
        <w:rPr>
          <w:rFonts w:hint="eastAsia"/>
          <w:lang w:val="en-US" w:eastAsia="zh-CN"/>
        </w:rPr>
        <w:t>药品、保健品等生产企业转型</w:t>
      </w:r>
      <w:r>
        <w:rPr>
          <w:rFonts w:hint="eastAsia" w:ascii="仿宋_GB2312" w:eastAsia="仿宋_GB2312"/>
        </w:rPr>
        <w:t>，推进</w:t>
      </w:r>
      <w:r>
        <w:rPr>
          <w:rFonts w:hint="eastAsia"/>
          <w:lang w:val="en-US" w:eastAsia="zh-CN"/>
        </w:rPr>
        <w:t>重点</w:t>
      </w:r>
      <w:r>
        <w:rPr>
          <w:rFonts w:hint="eastAsia" w:ascii="仿宋_GB2312" w:eastAsia="仿宋_GB2312"/>
        </w:rPr>
        <w:t>项目建设，形成医疗康养产业集群。</w:t>
      </w:r>
      <w:bookmarkStart w:id="204" w:name="_Toc32366"/>
      <w:bookmarkStart w:id="205" w:name="_Toc19245"/>
    </w:p>
    <w:p w14:paraId="43FF0F4C">
      <w:pPr>
        <w:pBdr>
          <w:bottom w:val="single" w:color="FFFFFF" w:sz="4" w:space="24"/>
        </w:pBdr>
        <w:overflowPunct w:val="0"/>
        <w:autoSpaceDE w:val="0"/>
        <w:autoSpaceDN w:val="0"/>
        <w:spacing w:line="600" w:lineRule="exact"/>
        <w:rPr>
          <w:rFonts w:hint="eastAsia" w:ascii="仿宋_GB2312" w:eastAsia="仿宋_GB2312"/>
        </w:rPr>
      </w:pPr>
      <w:r>
        <w:rPr>
          <w:rFonts w:hint="eastAsia" w:ascii="仿宋_GB2312" w:eastAsia="仿宋_GB2312"/>
          <w:b/>
          <w:bCs/>
        </w:rPr>
        <w:t>培育冰雪装备制造业</w:t>
      </w:r>
      <w:bookmarkEnd w:id="204"/>
      <w:bookmarkEnd w:id="205"/>
      <w:r>
        <w:rPr>
          <w:rFonts w:hint="eastAsia" w:ascii="仿宋_GB2312" w:eastAsia="仿宋_GB2312"/>
          <w:b/>
          <w:bCs/>
        </w:rPr>
        <w:t>。</w:t>
      </w:r>
      <w:r>
        <w:rPr>
          <w:rFonts w:hint="eastAsia" w:ascii="仿宋_GB2312"/>
          <w:lang w:val="en-US" w:eastAsia="zh-CN"/>
        </w:rPr>
        <w:t>顺应</w:t>
      </w:r>
      <w:r>
        <w:rPr>
          <w:rFonts w:hint="eastAsia" w:ascii="仿宋_GB2312" w:eastAsia="仿宋_GB2312"/>
        </w:rPr>
        <w:t>长春市冰雪产业战略布局，探索组建冰雪装备产业创新联合体</w:t>
      </w:r>
      <w:r>
        <w:rPr>
          <w:rFonts w:hint="eastAsia"/>
          <w:lang w:eastAsia="zh-CN"/>
        </w:rPr>
        <w:t>，</w:t>
      </w:r>
      <w:r>
        <w:rPr>
          <w:rFonts w:hint="eastAsia" w:ascii="仿宋_GB2312" w:eastAsia="仿宋_GB2312"/>
        </w:rPr>
        <w:t>招引滑雪车、制雪机等冰雪装备制造项目</w:t>
      </w:r>
      <w:r>
        <w:rPr>
          <w:rFonts w:hint="eastAsia"/>
          <w:lang w:eastAsia="zh-CN"/>
        </w:rPr>
        <w:t>，</w:t>
      </w:r>
      <w:r>
        <w:rPr>
          <w:rFonts w:hint="eastAsia"/>
          <w:lang w:val="en-US" w:eastAsia="zh-CN"/>
        </w:rPr>
        <w:t>发展</w:t>
      </w:r>
      <w:r>
        <w:rPr>
          <w:rFonts w:hint="eastAsia" w:ascii="仿宋_GB2312" w:eastAsia="仿宋_GB2312"/>
        </w:rPr>
        <w:t>冰雪装备</w:t>
      </w:r>
      <w:r>
        <w:rPr>
          <w:rFonts w:hint="eastAsia"/>
          <w:lang w:val="en-US" w:eastAsia="zh-CN"/>
        </w:rPr>
        <w:t>产业</w:t>
      </w:r>
      <w:r>
        <w:rPr>
          <w:rFonts w:hint="eastAsia" w:ascii="仿宋_GB2312" w:eastAsia="仿宋_GB2312"/>
        </w:rPr>
        <w:t>。</w:t>
      </w:r>
    </w:p>
    <w:p w14:paraId="701D0309">
      <w:pPr>
        <w:ind w:left="0" w:leftChars="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7ADEAB62">
      <w:pPr>
        <w:pStyle w:val="2"/>
        <w:spacing w:before="312" w:after="312"/>
        <w:rPr>
          <w:rFonts w:ascii="仿宋_GB2312" w:eastAsia="仿宋_GB2312"/>
          <w:color w:val="000000" w:themeColor="text1"/>
          <w14:textFill>
            <w14:solidFill>
              <w14:schemeClr w14:val="tx1"/>
            </w14:solidFill>
          </w14:textFill>
        </w:rPr>
      </w:pPr>
      <w:bookmarkStart w:id="206" w:name="_Toc2613"/>
      <w:r>
        <w:rPr>
          <w:rFonts w:hint="eastAsia"/>
          <w:color w:val="000000" w:themeColor="text1"/>
          <w14:textFill>
            <w14:solidFill>
              <w14:schemeClr w14:val="tx1"/>
            </w14:solidFill>
          </w14:textFill>
        </w:rPr>
        <w:t xml:space="preserve">第四章 </w:t>
      </w:r>
      <w:r>
        <w:rPr>
          <w:rFonts w:hint="eastAsia"/>
          <w:color w:val="000000" w:themeColor="text1"/>
          <w:lang w:val="en-US" w:eastAsia="zh-CN"/>
          <w14:textFill>
            <w14:solidFill>
              <w14:schemeClr w14:val="tx1"/>
            </w14:solidFill>
          </w14:textFill>
        </w:rPr>
        <w:t>全面</w:t>
      </w:r>
      <w:r>
        <w:rPr>
          <w:rFonts w:hint="eastAsia"/>
          <w:color w:val="000000" w:themeColor="text1"/>
          <w14:textFill>
            <w14:solidFill>
              <w14:schemeClr w14:val="tx1"/>
            </w14:solidFill>
          </w14:textFill>
        </w:rPr>
        <w:t>深化改革开放，完善高质量发展体制机制</w:t>
      </w:r>
      <w:bookmarkEnd w:id="206"/>
    </w:p>
    <w:p w14:paraId="7AA8D49A">
      <w:pPr>
        <w:spacing w:line="600" w:lineRule="exact"/>
        <w:ind w:firstLine="640"/>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深化关键领域改革，</w:t>
      </w:r>
      <w:r>
        <w:rPr>
          <w:rFonts w:hint="eastAsia" w:hAnsi="仿宋_GB2312" w:cs="仿宋_GB2312"/>
          <w:color w:val="000000" w:themeColor="text1"/>
          <w:lang w:val="en-US" w:eastAsia="zh-CN"/>
          <w14:textFill>
            <w14:solidFill>
              <w14:schemeClr w14:val="tx1"/>
            </w14:solidFill>
          </w14:textFill>
        </w:rPr>
        <w:t>打造</w:t>
      </w:r>
      <w:r>
        <w:rPr>
          <w:rFonts w:hint="eastAsia" w:ascii="仿宋_GB2312" w:hAnsi="仿宋_GB2312" w:eastAsia="仿宋_GB2312" w:cs="仿宋_GB2312"/>
          <w:color w:val="000000" w:themeColor="text1"/>
          <w14:textFill>
            <w14:solidFill>
              <w14:schemeClr w14:val="tx1"/>
            </w14:solidFill>
          </w14:textFill>
        </w:rPr>
        <w:t>跨区域合作平台</w:t>
      </w:r>
      <w:r>
        <w:rPr>
          <w:rFonts w:hint="eastAsia" w:hAnsi="仿宋_GB2312" w:cs="仿宋_GB2312"/>
          <w:color w:val="000000" w:themeColor="text1"/>
          <w:lang w:eastAsia="zh-CN"/>
          <w14:textFill>
            <w14:solidFill>
              <w14:schemeClr w14:val="tx1"/>
            </w14:solidFill>
          </w14:textFill>
        </w:rPr>
        <w:t>，</w:t>
      </w:r>
      <w:r>
        <w:rPr>
          <w:rFonts w:hint="eastAsia" w:hAnsi="仿宋_GB2312" w:cs="仿宋_GB2312"/>
          <w:color w:val="000000" w:themeColor="text1"/>
          <w:lang w:val="en-US" w:eastAsia="zh-CN"/>
          <w14:textFill>
            <w14:solidFill>
              <w14:schemeClr w14:val="tx1"/>
            </w14:solidFill>
          </w14:textFill>
        </w:rPr>
        <w:t>积极融入</w:t>
      </w:r>
      <w:r>
        <w:rPr>
          <w:rFonts w:hint="eastAsia" w:ascii="仿宋_GB2312" w:hAnsi="仿宋_GB2312" w:eastAsia="仿宋_GB2312" w:cs="仿宋_GB2312"/>
          <w:color w:val="000000" w:themeColor="text1"/>
          <w14:textFill>
            <w14:solidFill>
              <w14:schemeClr w14:val="tx1"/>
            </w14:solidFill>
          </w14:textFill>
        </w:rPr>
        <w:t>国际国内双循环，推动产业链、创新链、人才链</w:t>
      </w:r>
      <w:r>
        <w:rPr>
          <w:rFonts w:hint="eastAsia" w:hAnsi="仿宋_GB2312" w:cs="仿宋_GB2312"/>
          <w:color w:val="000000" w:themeColor="text1"/>
          <w:lang w:val="en-US" w:eastAsia="zh-CN"/>
          <w14:textFill>
            <w14:solidFill>
              <w14:schemeClr w14:val="tx1"/>
            </w14:solidFill>
          </w14:textFill>
        </w:rPr>
        <w:t>等</w:t>
      </w:r>
      <w:r>
        <w:rPr>
          <w:rFonts w:hint="eastAsia" w:ascii="仿宋_GB2312" w:hAnsi="仿宋_GB2312" w:eastAsia="仿宋_GB2312" w:cs="仿宋_GB2312"/>
          <w:color w:val="000000" w:themeColor="text1"/>
          <w14:textFill>
            <w14:solidFill>
              <w14:schemeClr w14:val="tx1"/>
            </w14:solidFill>
          </w14:textFill>
        </w:rPr>
        <w:t>深度契合</w:t>
      </w:r>
      <w:r>
        <w:rPr>
          <w:rFonts w:hint="eastAsia" w:hAnsi="仿宋_GB2312" w:cs="仿宋_GB2312"/>
          <w:color w:val="000000" w:themeColor="text1"/>
          <w:lang w:eastAsia="zh-CN"/>
          <w14:textFill>
            <w14:solidFill>
              <w14:schemeClr w14:val="tx1"/>
            </w14:solidFill>
          </w14:textFill>
        </w:rPr>
        <w:t>，</w:t>
      </w:r>
      <w:r>
        <w:rPr>
          <w:rFonts w:hint="eastAsia" w:hAnsi="仿宋_GB2312" w:cs="仿宋_GB2312"/>
          <w:color w:val="000000" w:themeColor="text1"/>
          <w:lang w:val="en-US" w:eastAsia="zh-CN"/>
          <w14:textFill>
            <w14:solidFill>
              <w14:schemeClr w14:val="tx1"/>
            </w14:solidFill>
          </w14:textFill>
        </w:rPr>
        <w:t>为高质量发展提供强劲动力。</w:t>
      </w:r>
    </w:p>
    <w:p w14:paraId="6A190536">
      <w:pPr>
        <w:pStyle w:val="3"/>
        <w:spacing w:before="156" w:after="156" w:line="600" w:lineRule="exact"/>
        <w:ind w:firstLine="0" w:firstLineChars="0"/>
        <w:outlineLvl w:val="1"/>
        <w:rPr>
          <w:color w:val="000000" w:themeColor="text1"/>
          <w14:textFill>
            <w14:solidFill>
              <w14:schemeClr w14:val="tx1"/>
            </w14:solidFill>
          </w14:textFill>
        </w:rPr>
      </w:pPr>
      <w:bookmarkStart w:id="207" w:name="_Toc6425"/>
      <w:bookmarkStart w:id="208" w:name="_Toc756703865"/>
      <w:bookmarkStart w:id="209" w:name="_Toc646147982"/>
      <w:bookmarkStart w:id="210" w:name="_Toc1190641076"/>
      <w:bookmarkStart w:id="211" w:name="_Toc1659581427"/>
      <w:bookmarkStart w:id="212" w:name="_Toc536156581"/>
      <w:bookmarkStart w:id="213" w:name="_Toc11552"/>
      <w:bookmarkStart w:id="214" w:name="_Toc671139706"/>
      <w:bookmarkStart w:id="215" w:name="_Toc16703"/>
      <w:bookmarkStart w:id="216" w:name="_Toc11112"/>
      <w:bookmarkStart w:id="217" w:name="_Toc211154005"/>
      <w:bookmarkStart w:id="218" w:name="_Toc30378"/>
      <w:bookmarkStart w:id="219" w:name="_Toc31066"/>
      <w:bookmarkStart w:id="220" w:name="_Toc422867968"/>
      <w:bookmarkStart w:id="221" w:name="_Toc534609139"/>
      <w:bookmarkStart w:id="222" w:name="_Toc13008"/>
      <w:bookmarkStart w:id="223" w:name="_Toc447881415"/>
      <w:bookmarkStart w:id="224" w:name="_Toc12787"/>
      <w:bookmarkStart w:id="225" w:name="_Toc926921684"/>
      <w:bookmarkStart w:id="226" w:name="_Toc200268828"/>
      <w:bookmarkStart w:id="227" w:name="_Toc974453573"/>
      <w:bookmarkStart w:id="228" w:name="_Toc1817160609"/>
      <w:bookmarkStart w:id="229" w:name="_Toc28910"/>
      <w:r>
        <w:rPr>
          <w:rFonts w:hint="eastAsia"/>
          <w:color w:val="000000" w:themeColor="text1"/>
          <w14:textFill>
            <w14:solidFill>
              <w14:schemeClr w14:val="tx1"/>
            </w14:solidFill>
          </w14:textFill>
        </w:rPr>
        <w:t>第一节 推进关键领域改革</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88D94BE">
      <w:pPr>
        <w:keepNext w:val="0"/>
        <w:keepLines w:val="0"/>
        <w:widowControl/>
        <w:suppressLineNumbers w:val="0"/>
        <w:jc w:val="left"/>
        <w:rPr>
          <w:rFonts w:hint="eastAsia" w:ascii="仿宋_GB2312" w:eastAsia="仿宋_GB2312"/>
        </w:rPr>
      </w:pPr>
      <w:r>
        <w:rPr>
          <w:rFonts w:hint="eastAsia" w:ascii="仿宋_GB2312" w:eastAsia="仿宋_GB2312"/>
          <w:b/>
          <w:bCs/>
        </w:rPr>
        <w:t>深化政务服务改革。</w:t>
      </w:r>
      <w:bookmarkStart w:id="230" w:name="_Toc31256"/>
      <w:bookmarkStart w:id="231" w:name="_Toc27350"/>
      <w:r>
        <w:rPr>
          <w:rFonts w:hint="eastAsia" w:ascii="仿宋_GB2312" w:eastAsia="仿宋_GB2312"/>
        </w:rPr>
        <w:t>以“高效办成一件事”为</w:t>
      </w:r>
      <w:r>
        <w:rPr>
          <w:rFonts w:hint="eastAsia"/>
          <w:lang w:val="en-US" w:eastAsia="zh-CN"/>
        </w:rPr>
        <w:t>牵引</w:t>
      </w:r>
      <w:r>
        <w:rPr>
          <w:rFonts w:hint="eastAsia" w:ascii="仿宋_GB2312" w:eastAsia="仿宋_GB2312"/>
        </w:rPr>
        <w:t>，系统推进政务服务提质增效。依托吉林省一体化政务服务平台，统一事项受理标准与办理规范，确保同一事项无差别办理</w:t>
      </w:r>
      <w:r>
        <w:rPr>
          <w:rFonts w:hint="eastAsia"/>
          <w:lang w:eastAsia="zh-CN"/>
        </w:rPr>
        <w:t>。</w:t>
      </w:r>
    </w:p>
    <w:p w14:paraId="63350C24">
      <w:pPr>
        <w:keepNext w:val="0"/>
        <w:keepLines w:val="0"/>
        <w:widowControl/>
        <w:suppressLineNumbers w:val="0"/>
        <w:jc w:val="left"/>
        <w:rPr>
          <w:rFonts w:hint="eastAsia"/>
          <w:lang w:val="en-US" w:eastAsia="zh-CN"/>
        </w:rPr>
      </w:pPr>
      <w:r>
        <w:rPr>
          <w:rFonts w:hint="eastAsia" w:ascii="仿宋_GB2312" w:eastAsia="仿宋_GB2312"/>
          <w:b/>
          <w:bCs/>
        </w:rPr>
        <w:t>深化开发区管理体制改革</w:t>
      </w:r>
      <w:bookmarkEnd w:id="230"/>
      <w:bookmarkEnd w:id="231"/>
      <w:r>
        <w:rPr>
          <w:rFonts w:hint="eastAsia" w:ascii="仿宋_GB2312" w:eastAsia="仿宋_GB2312"/>
          <w:b/>
          <w:bCs/>
        </w:rPr>
        <w:t>。</w:t>
      </w:r>
      <w:r>
        <w:rPr>
          <w:rFonts w:hint="eastAsia" w:ascii="仿宋_GB2312" w:eastAsia="仿宋_GB2312"/>
          <w:lang w:val="en-US" w:eastAsia="zh-CN"/>
        </w:rPr>
        <w:t>按照“精简、统一、效能”原则，</w:t>
      </w:r>
      <w:r>
        <w:rPr>
          <w:rFonts w:hint="eastAsia" w:ascii="仿宋_GB2312"/>
          <w:lang w:val="en-US" w:eastAsia="zh-CN"/>
        </w:rPr>
        <w:t>深化</w:t>
      </w:r>
      <w:r>
        <w:rPr>
          <w:rFonts w:hint="eastAsia" w:ascii="仿宋_GB2312" w:eastAsia="仿宋_GB2312"/>
          <w:lang w:val="en-US" w:eastAsia="zh-CN"/>
        </w:rPr>
        <w:t>岗位聘用等制度改革</w:t>
      </w:r>
      <w:r>
        <w:rPr>
          <w:rFonts w:hint="eastAsia" w:ascii="仿宋_GB2312" w:eastAsia="仿宋_GB2312"/>
        </w:rPr>
        <w:t>，</w:t>
      </w:r>
      <w:r>
        <w:rPr>
          <w:rFonts w:ascii="仿宋_GB2312" w:hAnsi="仿宋_GB2312" w:eastAsia="仿宋_GB2312" w:cs="仿宋_GB2312"/>
          <w:color w:val="000000"/>
          <w:kern w:val="0"/>
          <w:sz w:val="31"/>
          <w:szCs w:val="31"/>
          <w:lang w:val="en-US" w:eastAsia="zh-CN" w:bidi="ar"/>
        </w:rPr>
        <w:t>建立重点领域制度规则和重大政策沟通协调机制</w:t>
      </w:r>
      <w:r>
        <w:rPr>
          <w:rFonts w:hint="eastAsia"/>
          <w:lang w:val="en-US" w:eastAsia="zh-CN"/>
        </w:rPr>
        <w:t>。</w:t>
      </w:r>
      <w:bookmarkStart w:id="232" w:name="_Toc9835"/>
      <w:bookmarkStart w:id="233" w:name="_Toc1342"/>
    </w:p>
    <w:p w14:paraId="0773E7E3">
      <w:pPr>
        <w:keepNext w:val="0"/>
        <w:keepLines w:val="0"/>
        <w:widowControl/>
        <w:suppressLineNumbers w:val="0"/>
        <w:jc w:val="left"/>
        <w:rPr>
          <w:rFonts w:hint="eastAsia"/>
          <w:color w:val="000000" w:themeColor="text1"/>
          <w14:textFill>
            <w14:solidFill>
              <w14:schemeClr w14:val="tx1"/>
            </w14:solidFill>
          </w14:textFill>
        </w:rPr>
      </w:pPr>
      <w:r>
        <w:rPr>
          <w:rFonts w:hint="eastAsia" w:ascii="仿宋_GB2312" w:eastAsia="仿宋_GB2312"/>
          <w:b/>
          <w:bCs/>
          <w:color w:val="000000"/>
        </w:rPr>
        <w:t>深化要素市场化配置改革</w:t>
      </w:r>
      <w:bookmarkEnd w:id="232"/>
      <w:bookmarkEnd w:id="233"/>
      <w:r>
        <w:rPr>
          <w:rFonts w:hint="eastAsia" w:ascii="仿宋_GB2312" w:eastAsia="仿宋_GB2312"/>
          <w:b/>
          <w:bCs/>
          <w:color w:val="000000"/>
        </w:rPr>
        <w:t>。</w:t>
      </w:r>
      <w:r>
        <w:rPr>
          <w:rFonts w:hint="eastAsia" w:ascii="仿宋_GB2312" w:eastAsia="仿宋_GB2312"/>
          <w:color w:val="000000"/>
        </w:rPr>
        <w:t>建立“土地要素池”动态管理机制，开展集体土地承包经营权确权登记，</w:t>
      </w:r>
      <w:r>
        <w:rPr>
          <w:rFonts w:hint="eastAsia" w:ascii="仿宋_GB2312" w:eastAsia="仿宋_GB2312"/>
          <w:color w:val="000000"/>
          <w:lang w:val="en-US" w:eastAsia="zh-CN"/>
        </w:rPr>
        <w:t>鼓励</w:t>
      </w:r>
      <w:r>
        <w:rPr>
          <w:rFonts w:hint="eastAsia"/>
          <w:color w:val="000000"/>
          <w:lang w:val="en-US" w:eastAsia="zh-CN"/>
        </w:rPr>
        <w:t>国有企业存量用地盘活利用。探索以先租后让、租让结合等多种方式供应土地，灵活盘活低效用地。</w:t>
      </w:r>
    </w:p>
    <w:p w14:paraId="28FCAF90">
      <w:pPr>
        <w:pStyle w:val="3"/>
        <w:spacing w:before="156" w:after="156" w:line="600" w:lineRule="exact"/>
        <w:ind w:firstLine="0" w:firstLineChars="0"/>
        <w:outlineLvl w:val="1"/>
        <w:rPr>
          <w:rFonts w:hint="eastAsia"/>
          <w:color w:val="000000" w:themeColor="text1"/>
          <w:lang w:val="en-US" w:eastAsia="zh-CN"/>
          <w14:textFill>
            <w14:solidFill>
              <w14:schemeClr w14:val="tx1"/>
            </w14:solidFill>
          </w14:textFill>
        </w:rPr>
      </w:pPr>
      <w:bookmarkStart w:id="234" w:name="_Toc12312"/>
      <w:r>
        <w:rPr>
          <w:rFonts w:hint="eastAsia"/>
          <w:color w:val="000000" w:themeColor="text1"/>
          <w14:textFill>
            <w14:solidFill>
              <w14:schemeClr w14:val="tx1"/>
            </w14:solidFill>
          </w14:textFill>
        </w:rPr>
        <w:t>第二节 推进对外开放合作</w:t>
      </w:r>
      <w:bookmarkEnd w:id="183"/>
      <w:bookmarkEnd w:id="184"/>
      <w:bookmarkEnd w:id="185"/>
      <w:bookmarkEnd w:id="186"/>
      <w:bookmarkEnd w:id="187"/>
      <w:bookmarkEnd w:id="234"/>
    </w:p>
    <w:p w14:paraId="73D902AE">
      <w:pPr>
        <w:rPr>
          <w:rFonts w:hint="eastAsia" w:ascii="仿宋_GB2312" w:eastAsia="仿宋_GB2312"/>
        </w:rPr>
      </w:pPr>
      <w:r>
        <w:rPr>
          <w:rFonts w:hint="eastAsia" w:ascii="仿宋_GB2312" w:eastAsia="仿宋_GB2312"/>
          <w:b/>
          <w:bCs/>
        </w:rPr>
        <w:t>全力开展招商引资。</w:t>
      </w:r>
      <w:r>
        <w:rPr>
          <w:rFonts w:hint="eastAsia" w:ascii="仿宋_GB2312" w:eastAsia="仿宋_GB2312"/>
        </w:rPr>
        <w:t>聚焦轨道交通装备等主导产业，以及绿色新能源等新赛道产业开展精准招商，重点招引产业链链主及上下游配套企业。</w:t>
      </w:r>
      <w:bookmarkStart w:id="235" w:name="_Toc18677"/>
      <w:bookmarkStart w:id="236" w:name="_Toc4494"/>
    </w:p>
    <w:p w14:paraId="3BB9C577">
      <w:pPr>
        <w:rPr>
          <w:rFonts w:hint="eastAsia" w:ascii="仿宋_GB2312" w:eastAsia="仿宋_GB2312"/>
          <w:lang w:eastAsia="zh-CN"/>
        </w:rPr>
      </w:pPr>
      <w:r>
        <w:rPr>
          <w:rFonts w:hint="eastAsia" w:ascii="仿宋_GB2312" w:eastAsia="仿宋_GB2312"/>
          <w:b/>
          <w:bCs/>
        </w:rPr>
        <w:t>推动本土企业走出去</w:t>
      </w:r>
      <w:bookmarkEnd w:id="235"/>
      <w:bookmarkEnd w:id="236"/>
      <w:r>
        <w:rPr>
          <w:rFonts w:hint="eastAsia" w:ascii="仿宋_GB2312" w:eastAsia="仿宋_GB2312"/>
          <w:b/>
          <w:bCs/>
        </w:rPr>
        <w:t>。</w:t>
      </w:r>
      <w:r>
        <w:rPr>
          <w:rFonts w:hint="eastAsia" w:ascii="仿宋_GB2312" w:eastAsia="仿宋_GB2312"/>
        </w:rPr>
        <w:t>加大外贸企业</w:t>
      </w:r>
      <w:r>
        <w:rPr>
          <w:rFonts w:hint="eastAsia" w:ascii="仿宋_GB2312"/>
          <w:lang w:val="en-US" w:eastAsia="zh-CN"/>
        </w:rPr>
        <w:t>引进</w:t>
      </w:r>
      <w:r>
        <w:rPr>
          <w:rFonts w:hint="eastAsia" w:ascii="仿宋_GB2312" w:eastAsia="仿宋_GB2312"/>
        </w:rPr>
        <w:t>力度</w:t>
      </w:r>
      <w:r>
        <w:rPr>
          <w:rFonts w:hint="eastAsia" w:ascii="仿宋_GB2312" w:eastAsia="仿宋_GB2312"/>
          <w:lang w:eastAsia="zh-CN"/>
        </w:rPr>
        <w:t>，</w:t>
      </w:r>
      <w:r>
        <w:rPr>
          <w:rFonts w:hint="eastAsia" w:ascii="仿宋_GB2312" w:eastAsia="仿宋_GB2312"/>
        </w:rPr>
        <w:t>培育一批有品牌、有</w:t>
      </w:r>
      <w:r>
        <w:rPr>
          <w:rFonts w:hint="eastAsia"/>
          <w:lang w:val="en-US" w:eastAsia="zh-CN"/>
        </w:rPr>
        <w:t>潜力、</w:t>
      </w:r>
      <w:r>
        <w:rPr>
          <w:rFonts w:hint="eastAsia" w:ascii="仿宋_GB2312" w:eastAsia="仿宋_GB2312"/>
        </w:rPr>
        <w:t>有较强国际竞争力的外贸企业</w:t>
      </w:r>
      <w:r>
        <w:rPr>
          <w:rFonts w:hint="eastAsia" w:ascii="仿宋_GB2312" w:eastAsia="仿宋_GB2312"/>
          <w:lang w:eastAsia="zh-CN"/>
        </w:rPr>
        <w:t>。</w:t>
      </w:r>
    </w:p>
    <w:p w14:paraId="7DE9E621">
      <w:pPr>
        <w:rPr>
          <w:rFonts w:hint="eastAsia"/>
          <w:color w:val="000000" w:themeColor="text1"/>
          <w14:textFill>
            <w14:solidFill>
              <w14:schemeClr w14:val="tx1"/>
            </w14:solidFill>
          </w14:textFill>
        </w:rPr>
      </w:pPr>
      <w:r>
        <w:rPr>
          <w:rFonts w:hint="eastAsia" w:ascii="仿宋_GB2312" w:eastAsia="仿宋_GB2312"/>
          <w:b/>
          <w:bCs/>
          <w:color w:val="000000" w:themeColor="text1"/>
          <w:lang w:val="en-US" w:eastAsia="zh-CN"/>
          <w14:textFill>
            <w14:solidFill>
              <w14:schemeClr w14:val="tx1"/>
            </w14:solidFill>
          </w14:textFill>
        </w:rPr>
        <w:t>积极开展区域合作</w:t>
      </w:r>
      <w:r>
        <w:rPr>
          <w:rFonts w:hint="eastAsia" w:ascii="仿宋_GB2312" w:eastAsia="仿宋_GB2312"/>
          <w:b/>
          <w:bCs/>
          <w:color w:val="000000" w:themeColor="text1"/>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主动融入</w:t>
      </w:r>
      <w:r>
        <w:rPr>
          <w:rFonts w:hint="eastAsia" w:ascii="仿宋_GB2312" w:eastAsia="仿宋_GB2312"/>
          <w:b w:val="0"/>
          <w:bCs w:val="0"/>
          <w:color w:val="000000" w:themeColor="text1"/>
          <w14:textFill>
            <w14:solidFill>
              <w14:schemeClr w14:val="tx1"/>
            </w14:solidFill>
          </w14:textFill>
        </w:rPr>
        <w:t>长吉图</w:t>
      </w:r>
      <w:r>
        <w:rPr>
          <w:rFonts w:hint="eastAsia"/>
          <w:b w:val="0"/>
          <w:bCs w:val="0"/>
          <w:color w:val="000000" w:themeColor="text1"/>
          <w:lang w:val="en-US" w:eastAsia="zh-CN"/>
          <w14:textFill>
            <w14:solidFill>
              <w14:schemeClr w14:val="tx1"/>
            </w14:solidFill>
          </w14:textFill>
        </w:rPr>
        <w:t>开发开放</w:t>
      </w:r>
      <w:r>
        <w:rPr>
          <w:rFonts w:hint="eastAsia" w:ascii="仿宋_GB2312" w:eastAsia="仿宋_GB2312"/>
          <w:b w:val="0"/>
          <w:bCs w:val="0"/>
          <w:color w:val="000000" w:themeColor="text1"/>
          <w14:textFill>
            <w14:solidFill>
              <w14:schemeClr w14:val="tx1"/>
            </w14:solidFill>
          </w14:textFill>
        </w:rPr>
        <w:t>先导区</w:t>
      </w:r>
      <w:r>
        <w:rPr>
          <w:rFonts w:hint="eastAsia"/>
          <w:b w:val="0"/>
          <w:bCs w:val="0"/>
          <w:color w:val="000000" w:themeColor="text1"/>
          <w:lang w:val="en-US" w:eastAsia="zh-CN"/>
          <w14:textFill>
            <w14:solidFill>
              <w14:schemeClr w14:val="tx1"/>
            </w14:solidFill>
          </w14:textFill>
        </w:rPr>
        <w:t>战略，推进</w:t>
      </w:r>
      <w:r>
        <w:rPr>
          <w:rFonts w:hint="eastAsia" w:ascii="仿宋_GB2312" w:eastAsia="仿宋_GB2312"/>
          <w:color w:val="000000" w:themeColor="text1"/>
          <w14:textFill>
            <w14:solidFill>
              <w14:schemeClr w14:val="tx1"/>
            </w14:solidFill>
          </w14:textFill>
        </w:rPr>
        <w:t>与</w:t>
      </w:r>
      <w:r>
        <w:rPr>
          <w:rFonts w:hint="eastAsia"/>
          <w:color w:val="000000" w:themeColor="text1"/>
          <w:lang w:val="en-US" w:eastAsia="zh-CN"/>
          <w14:textFill>
            <w14:solidFill>
              <w14:schemeClr w14:val="tx1"/>
            </w14:solidFill>
          </w14:textFill>
        </w:rPr>
        <w:t>长春</w:t>
      </w:r>
      <w:r>
        <w:rPr>
          <w:rFonts w:hint="eastAsia" w:ascii="仿宋_GB2312" w:eastAsia="仿宋_GB2312"/>
          <w:color w:val="000000" w:themeColor="text1"/>
          <w14:textFill>
            <w14:solidFill>
              <w14:schemeClr w14:val="tx1"/>
            </w14:solidFill>
          </w14:textFill>
        </w:rPr>
        <w:t>新区、中韩</w:t>
      </w:r>
      <w:r>
        <w:rPr>
          <w:rFonts w:hint="eastAsia"/>
          <w:color w:val="000000" w:themeColor="text1"/>
          <w:lang w:val="en-US" w:eastAsia="zh-CN"/>
          <w14:textFill>
            <w14:solidFill>
              <w14:schemeClr w14:val="tx1"/>
            </w14:solidFill>
          </w14:textFill>
        </w:rPr>
        <w:t>国际</w:t>
      </w:r>
      <w:r>
        <w:rPr>
          <w:rFonts w:hint="eastAsia" w:ascii="仿宋_GB2312" w:eastAsia="仿宋_GB2312"/>
          <w:color w:val="000000" w:themeColor="text1"/>
          <w14:textFill>
            <w14:solidFill>
              <w14:schemeClr w14:val="tx1"/>
            </w14:solidFill>
          </w14:textFill>
        </w:rPr>
        <w:t>合作</w:t>
      </w:r>
      <w:r>
        <w:rPr>
          <w:rFonts w:hint="eastAsia"/>
          <w:color w:val="000000" w:themeColor="text1"/>
          <w:lang w:val="en-US" w:eastAsia="zh-CN"/>
          <w14:textFill>
            <w14:solidFill>
              <w14:schemeClr w14:val="tx1"/>
            </w14:solidFill>
          </w14:textFill>
        </w:rPr>
        <w:t>示范</w:t>
      </w:r>
      <w:r>
        <w:rPr>
          <w:rFonts w:hint="eastAsia" w:ascii="仿宋_GB2312" w:eastAsia="仿宋_GB2312"/>
          <w:color w:val="000000" w:themeColor="text1"/>
          <w14:textFill>
            <w14:solidFill>
              <w14:schemeClr w14:val="tx1"/>
            </w14:solidFill>
          </w14:textFill>
        </w:rPr>
        <w:t>区等</w:t>
      </w:r>
      <w:r>
        <w:rPr>
          <w:rFonts w:hint="eastAsia"/>
          <w:color w:val="000000" w:themeColor="text1"/>
          <w:lang w:val="en-US" w:eastAsia="zh-CN"/>
          <w14:textFill>
            <w14:solidFill>
              <w14:schemeClr w14:val="tx1"/>
            </w14:solidFill>
          </w14:textFill>
        </w:rPr>
        <w:t>开放平台产业</w:t>
      </w:r>
      <w:r>
        <w:rPr>
          <w:rFonts w:hint="eastAsia" w:ascii="仿宋_GB2312" w:eastAsia="仿宋_GB2312"/>
          <w:color w:val="000000" w:themeColor="text1"/>
          <w14:textFill>
            <w14:solidFill>
              <w14:schemeClr w14:val="tx1"/>
            </w14:solidFill>
          </w14:textFill>
        </w:rPr>
        <w:t>协作，</w:t>
      </w:r>
      <w:r>
        <w:rPr>
          <w:rFonts w:hint="eastAsia"/>
          <w:color w:val="000000" w:themeColor="text1"/>
          <w:lang w:val="en-US" w:eastAsia="zh-CN"/>
          <w14:textFill>
            <w14:solidFill>
              <w14:schemeClr w14:val="tx1"/>
            </w14:solidFill>
          </w14:textFill>
        </w:rPr>
        <w:t>推动轨道交通装备、汽车零部件配套等产业对接东北亚国际市场。</w:t>
      </w:r>
      <w:bookmarkEnd w:id="188"/>
      <w:bookmarkEnd w:id="189"/>
      <w:bookmarkStart w:id="237" w:name="_Toc211154007"/>
      <w:r>
        <w:rPr>
          <w:rFonts w:hint="eastAsia"/>
          <w:color w:val="000000" w:themeColor="text1"/>
          <w14:textFill>
            <w14:solidFill>
              <w14:schemeClr w14:val="tx1"/>
            </w14:solidFill>
          </w14:textFill>
        </w:rPr>
        <w:br w:type="page"/>
      </w:r>
    </w:p>
    <w:bookmarkEnd w:id="190"/>
    <w:bookmarkEnd w:id="191"/>
    <w:bookmarkEnd w:id="192"/>
    <w:bookmarkEnd w:id="193"/>
    <w:bookmarkEnd w:id="194"/>
    <w:bookmarkEnd w:id="195"/>
    <w:bookmarkEnd w:id="196"/>
    <w:bookmarkEnd w:id="197"/>
    <w:bookmarkEnd w:id="198"/>
    <w:bookmarkEnd w:id="237"/>
    <w:p w14:paraId="2321B863">
      <w:pPr>
        <w:pStyle w:val="2"/>
        <w:keepNext w:val="0"/>
        <w:keepLines w:val="0"/>
        <w:pageBreakBefore w:val="0"/>
        <w:widowControl w:val="0"/>
        <w:kinsoku/>
        <w:wordWrap/>
        <w:overflowPunct/>
        <w:topLinePunct w:val="0"/>
        <w:autoSpaceDE/>
        <w:autoSpaceDN/>
        <w:bidi w:val="0"/>
        <w:adjustRightInd w:val="0"/>
        <w:snapToGrid w:val="0"/>
        <w:spacing w:before="438" w:beforeLines="100" w:after="438" w:afterLines="100" w:line="600" w:lineRule="exact"/>
        <w:textAlignment w:val="auto"/>
        <w:rPr>
          <w:color w:val="000000" w:themeColor="text1"/>
          <w14:textFill>
            <w14:solidFill>
              <w14:schemeClr w14:val="tx1"/>
            </w14:solidFill>
          </w14:textFill>
        </w:rPr>
      </w:pPr>
      <w:bookmarkStart w:id="238" w:name="_Toc23869"/>
      <w:bookmarkStart w:id="239" w:name="_Toc15590"/>
      <w:bookmarkStart w:id="240" w:name="_Toc27878"/>
      <w:bookmarkStart w:id="241" w:name="_Toc1177186374"/>
      <w:bookmarkStart w:id="242" w:name="_Toc779606815"/>
      <w:bookmarkStart w:id="243" w:name="_Toc1582957559"/>
      <w:bookmarkStart w:id="244" w:name="_Toc1774545344"/>
      <w:bookmarkStart w:id="245" w:name="_Toc5421"/>
      <w:bookmarkStart w:id="246" w:name="_Toc1498074328"/>
      <w:bookmarkStart w:id="247" w:name="_Toc22311"/>
      <w:bookmarkStart w:id="248" w:name="_Toc703449374"/>
      <w:bookmarkStart w:id="249" w:name="_Toc1827280314"/>
      <w:bookmarkStart w:id="250" w:name="_Toc335109089"/>
      <w:bookmarkStart w:id="251" w:name="_Toc1986264979"/>
      <w:bookmarkStart w:id="252" w:name="_Toc499080809"/>
      <w:bookmarkStart w:id="253" w:name="_Toc1402902164"/>
      <w:bookmarkStart w:id="254" w:name="_Toc10148"/>
      <w:bookmarkStart w:id="255" w:name="_Toc1886772493"/>
      <w:bookmarkStart w:id="256" w:name="_Toc1123780717"/>
      <w:bookmarkStart w:id="257" w:name="_Toc8189"/>
      <w:bookmarkStart w:id="258" w:name="_Toc1367065159"/>
      <w:r>
        <w:rPr>
          <w:rFonts w:hint="eastAsia"/>
          <w:color w:val="000000" w:themeColor="text1"/>
          <w14:textFill>
            <w14:solidFill>
              <w14:schemeClr w14:val="tx1"/>
            </w14:solidFill>
          </w14:textFill>
        </w:rPr>
        <w:t xml:space="preserve">第五章 </w:t>
      </w:r>
      <w:r>
        <w:rPr>
          <w:rFonts w:hint="eastAsia"/>
          <w:color w:val="000000" w:themeColor="text1"/>
          <w:lang w:val="en-US" w:eastAsia="zh-CN"/>
          <w14:textFill>
            <w14:solidFill>
              <w14:schemeClr w14:val="tx1"/>
            </w14:solidFill>
          </w14:textFill>
        </w:rPr>
        <w:t>实施</w:t>
      </w:r>
      <w:r>
        <w:rPr>
          <w:rFonts w:hint="eastAsia"/>
          <w:color w:val="000000" w:themeColor="text1"/>
          <w14:textFill>
            <w14:solidFill>
              <w14:schemeClr w14:val="tx1"/>
            </w14:solidFill>
          </w14:textFill>
        </w:rPr>
        <w:t>科技兴区战略，打造创新引领新高地</w:t>
      </w:r>
      <w:bookmarkEnd w:id="238"/>
      <w:bookmarkEnd w:id="239"/>
    </w:p>
    <w:p w14:paraId="74FEAE75">
      <w:pPr>
        <w:keepNext w:val="0"/>
        <w:keepLines w:val="0"/>
        <w:pageBreakBefore w:val="0"/>
        <w:kinsoku/>
        <w:wordWrap/>
        <w:overflowPunct/>
        <w:topLinePunct w:val="0"/>
        <w:autoSpaceDE/>
        <w:autoSpaceDN/>
        <w:bidi w:val="0"/>
        <w:spacing w:line="600" w:lineRule="exact"/>
        <w:ind w:firstLine="64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坚持实施科教兴国、人才强国、创新驱动战略，培育企业创新主体，构筑科技创新平台优势，全面提升创新引领经济高质量发展能力。</w:t>
      </w:r>
    </w:p>
    <w:p w14:paraId="13761BAF">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ind w:firstLine="0" w:firstLineChars="0"/>
        <w:textAlignment w:val="baseline"/>
        <w:outlineLvl w:val="1"/>
        <w:rPr>
          <w:rFonts w:hint="default" w:eastAsia="楷体"/>
          <w:color w:val="000000" w:themeColor="text1"/>
          <w:lang w:val="en-US" w:eastAsia="zh-CN"/>
          <w14:textFill>
            <w14:solidFill>
              <w14:schemeClr w14:val="tx1"/>
            </w14:solidFill>
          </w14:textFill>
        </w:rPr>
      </w:pPr>
      <w:bookmarkStart w:id="259" w:name="_Toc952554588"/>
      <w:bookmarkStart w:id="260" w:name="_Toc211154008"/>
      <w:bookmarkStart w:id="261" w:name="_Toc31586"/>
      <w:bookmarkStart w:id="262" w:name="_Toc267964148"/>
      <w:bookmarkStart w:id="263" w:name="_Toc2127654494"/>
      <w:bookmarkStart w:id="264" w:name="_Toc1545225996"/>
      <w:bookmarkStart w:id="265" w:name="_Toc3259"/>
      <w:bookmarkStart w:id="266" w:name="_Toc19647"/>
      <w:bookmarkStart w:id="267" w:name="_Toc443667975"/>
      <w:bookmarkStart w:id="268" w:name="_Toc30816"/>
      <w:bookmarkStart w:id="269" w:name="_Toc1840883145"/>
      <w:bookmarkStart w:id="270" w:name="_Toc1903191035"/>
      <w:bookmarkStart w:id="271" w:name="_Toc1824547297"/>
      <w:bookmarkStart w:id="272" w:name="_Toc1551566177"/>
      <w:bookmarkStart w:id="273" w:name="_Toc27173"/>
      <w:bookmarkStart w:id="274" w:name="_Toc5841"/>
      <w:bookmarkStart w:id="275" w:name="_Toc2310"/>
      <w:bookmarkStart w:id="276" w:name="_Toc1696533287"/>
      <w:bookmarkStart w:id="277" w:name="_Toc658336220"/>
      <w:bookmarkStart w:id="278" w:name="_Toc1478290753"/>
      <w:bookmarkStart w:id="279" w:name="_Toc286672811"/>
      <w:bookmarkStart w:id="280" w:name="_Toc2046"/>
      <w:r>
        <w:rPr>
          <w:rFonts w:hint="eastAsia"/>
          <w:color w:val="000000" w:themeColor="text1"/>
          <w14:textFill>
            <w14:solidFill>
              <w14:schemeClr w14:val="tx1"/>
            </w14:solidFill>
          </w14:textFill>
        </w:rPr>
        <w:t xml:space="preserve">第一节 </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Pr>
          <w:rFonts w:hint="eastAsia"/>
          <w:color w:val="000000" w:themeColor="text1"/>
          <w:lang w:val="en-US" w:eastAsia="zh-CN"/>
          <w14:textFill>
            <w14:solidFill>
              <w14:schemeClr w14:val="tx1"/>
            </w14:solidFill>
          </w14:textFill>
        </w:rPr>
        <w:t>培育壮大科技创新主体</w:t>
      </w:r>
      <w:bookmarkEnd w:id="280"/>
    </w:p>
    <w:p w14:paraId="29950DFA">
      <w:pPr>
        <w:bidi w:val="0"/>
        <w:rPr>
          <w:rFonts w:hint="eastAsia"/>
        </w:rPr>
      </w:pPr>
      <w:r>
        <w:rPr>
          <w:rFonts w:hint="eastAsia"/>
          <w:b/>
          <w:bCs/>
        </w:rPr>
        <w:t>多层次培育创新主体。</w:t>
      </w:r>
      <w:r>
        <w:rPr>
          <w:rFonts w:hint="eastAsia"/>
        </w:rPr>
        <w:t>持续开展高新技术企业培育和认定工作，支持企业加大研发投入，提升自主创新能力。</w:t>
      </w:r>
    </w:p>
    <w:p w14:paraId="2F872D42">
      <w:pPr>
        <w:bidi w:val="0"/>
        <w:rPr>
          <w:rFonts w:hint="eastAsia"/>
        </w:rPr>
      </w:pPr>
      <w:r>
        <w:rPr>
          <w:rFonts w:hint="eastAsia"/>
          <w:b/>
          <w:bCs/>
        </w:rPr>
        <w:t>完善企业梯度培育机制。</w:t>
      </w:r>
      <w:r>
        <w:rPr>
          <w:rFonts w:hint="eastAsia"/>
        </w:rPr>
        <w:t>建立健全“微成长、小升高、高变强”梯度培育机制，大力培育“雏鹰、瞪羚、独角兽”企业，打造“单项冠军</w:t>
      </w:r>
      <w:r>
        <w:rPr>
          <w:rFonts w:hint="eastAsia"/>
          <w:lang w:val="en-US" w:eastAsia="zh-CN"/>
        </w:rPr>
        <w:t>-</w:t>
      </w:r>
      <w:r>
        <w:rPr>
          <w:rFonts w:hint="eastAsia"/>
        </w:rPr>
        <w:t>小巨人</w:t>
      </w:r>
      <w:r>
        <w:rPr>
          <w:rFonts w:hint="eastAsia"/>
          <w:lang w:val="en-US" w:eastAsia="zh-CN"/>
        </w:rPr>
        <w:t>-</w:t>
      </w:r>
      <w:r>
        <w:rPr>
          <w:rFonts w:hint="eastAsia"/>
        </w:rPr>
        <w:t>领军企业”创新梯队。</w:t>
      </w:r>
      <w:bookmarkStart w:id="281" w:name="_Toc8204"/>
      <w:bookmarkStart w:id="282" w:name="_Toc11672"/>
    </w:p>
    <w:p w14:paraId="7F8B065A">
      <w:pPr>
        <w:bidi w:val="0"/>
        <w:rPr>
          <w:rFonts w:hint="eastAsia"/>
          <w:lang w:val="en-US" w:eastAsia="zh-CN"/>
        </w:rPr>
      </w:pPr>
      <w:r>
        <w:rPr>
          <w:rFonts w:hint="eastAsia"/>
          <w:b/>
          <w:bCs/>
          <w:lang w:val="en-US" w:eastAsia="zh-CN"/>
        </w:rPr>
        <w:t>培育专精特新企业集群。</w:t>
      </w:r>
      <w:r>
        <w:rPr>
          <w:rFonts w:hint="eastAsia"/>
          <w:lang w:val="en-US" w:eastAsia="zh-CN"/>
        </w:rPr>
        <w:t>建设优质企业培育库，实施梯度培育和精准服务，促进中小企业向专精特新领域发展。</w:t>
      </w:r>
    </w:p>
    <w:p w14:paraId="25DECEEC">
      <w:pPr>
        <w:bidi w:val="0"/>
        <w:rPr>
          <w:rFonts w:hint="eastAsia"/>
        </w:rPr>
      </w:pPr>
      <w:r>
        <w:rPr>
          <w:rFonts w:hint="eastAsia"/>
          <w:b/>
          <w:bCs/>
        </w:rPr>
        <w:t>推动制造业“智改数转”</w:t>
      </w:r>
      <w:bookmarkEnd w:id="281"/>
      <w:bookmarkEnd w:id="282"/>
      <w:r>
        <w:rPr>
          <w:rFonts w:hint="eastAsia"/>
          <w:b/>
          <w:bCs/>
        </w:rPr>
        <w:t>。</w:t>
      </w:r>
      <w:r>
        <w:rPr>
          <w:rFonts w:hint="eastAsia"/>
          <w:lang w:val="en-US" w:eastAsia="zh-CN"/>
        </w:rPr>
        <w:t>依托</w:t>
      </w:r>
      <w:r>
        <w:rPr>
          <w:rFonts w:hint="eastAsia"/>
        </w:rPr>
        <w:t>省级“智改数转”</w:t>
      </w:r>
      <w:r>
        <w:rPr>
          <w:rFonts w:hint="eastAsia"/>
          <w:lang w:val="en-US" w:eastAsia="zh-CN"/>
        </w:rPr>
        <w:t>行动</w:t>
      </w:r>
      <w:r>
        <w:rPr>
          <w:rFonts w:hint="eastAsia"/>
        </w:rPr>
        <w:t>，在循环经济、绿色能源、新材料等领域开发开放应用场景，引导科技成果在</w:t>
      </w:r>
      <w:r>
        <w:rPr>
          <w:rFonts w:hint="eastAsia"/>
          <w:lang w:val="en-US" w:eastAsia="zh-CN"/>
        </w:rPr>
        <w:t>现实</w:t>
      </w:r>
      <w:r>
        <w:rPr>
          <w:rFonts w:hint="eastAsia"/>
        </w:rPr>
        <w:t>场景应用中快速突破。</w:t>
      </w:r>
      <w:bookmarkStart w:id="283" w:name="_Toc1304114256"/>
      <w:bookmarkStart w:id="284" w:name="_Toc400227677"/>
      <w:bookmarkStart w:id="285" w:name="_Toc1561"/>
      <w:bookmarkStart w:id="286" w:name="_Toc30525"/>
      <w:bookmarkStart w:id="287" w:name="_Toc94372131"/>
      <w:bookmarkStart w:id="288" w:name="_Toc13739"/>
      <w:bookmarkStart w:id="289" w:name="_Toc1247425166"/>
      <w:bookmarkStart w:id="290" w:name="_Toc926115686"/>
      <w:bookmarkStart w:id="291" w:name="_Toc821100196"/>
      <w:bookmarkStart w:id="292" w:name="_Toc13283"/>
      <w:bookmarkStart w:id="293" w:name="_Toc1738874461"/>
      <w:bookmarkStart w:id="294" w:name="_Toc162803180"/>
      <w:bookmarkStart w:id="295" w:name="_Toc1093571601"/>
      <w:bookmarkStart w:id="296" w:name="_Toc1494573390"/>
      <w:bookmarkStart w:id="297" w:name="_Toc30383"/>
      <w:bookmarkStart w:id="298" w:name="_Toc1394373528"/>
      <w:bookmarkStart w:id="299" w:name="_Toc211154009"/>
      <w:bookmarkStart w:id="300" w:name="_Toc25601"/>
      <w:bookmarkStart w:id="301" w:name="_Toc21818"/>
      <w:bookmarkStart w:id="302" w:name="_Toc664433441"/>
      <w:bookmarkStart w:id="303" w:name="_Toc278811318"/>
    </w:p>
    <w:p w14:paraId="6521412A">
      <w:pPr>
        <w:pStyle w:val="3"/>
        <w:bidi w:val="0"/>
        <w:ind w:firstLine="0" w:firstLineChars="0"/>
        <w:outlineLvl w:val="1"/>
        <w:rPr>
          <w:rFonts w:hint="eastAsia"/>
          <w:color w:val="000000" w:themeColor="text1"/>
          <w:lang w:val="en-US" w:eastAsia="zh-CN"/>
          <w14:textFill>
            <w14:solidFill>
              <w14:schemeClr w14:val="tx1"/>
            </w14:solidFill>
          </w14:textFill>
        </w:rPr>
      </w:pPr>
      <w:bookmarkStart w:id="304" w:name="_Toc4046"/>
      <w:r>
        <w:rPr>
          <w:rFonts w:hint="eastAsia"/>
          <w:color w:val="000000" w:themeColor="text1"/>
          <w:lang w:val="en-US" w:eastAsia="zh-CN"/>
          <w14:textFill>
            <w14:solidFill>
              <w14:schemeClr w14:val="tx1"/>
            </w14:solidFill>
          </w14:textFill>
        </w:rPr>
        <w:t>第二节 统筹教育科技人才产业一体发展</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78A58D9">
      <w:pPr>
        <w:bidi w:val="0"/>
        <w:rPr>
          <w:rFonts w:hint="eastAsia"/>
        </w:rPr>
      </w:pPr>
      <w:r>
        <w:rPr>
          <w:rFonts w:hint="eastAsia"/>
          <w:b/>
          <w:bCs/>
          <w:lang w:val="en-US" w:eastAsia="zh-CN"/>
        </w:rPr>
        <w:t>打造人才培育平台</w:t>
      </w:r>
      <w:r>
        <w:rPr>
          <w:rFonts w:hint="eastAsia"/>
          <w:b/>
          <w:bCs/>
        </w:rPr>
        <w:t>。</w:t>
      </w:r>
      <w:r>
        <w:rPr>
          <w:rFonts w:hint="eastAsia"/>
        </w:rPr>
        <w:t>依托省“长白英才计划”</w:t>
      </w:r>
      <w:r>
        <w:rPr>
          <w:rFonts w:hint="eastAsia"/>
          <w:lang w:val="en-US" w:eastAsia="zh-CN"/>
        </w:rPr>
        <w:t>和市“长白英才支撑计划”</w:t>
      </w:r>
      <w:r>
        <w:rPr>
          <w:rFonts w:hint="eastAsia"/>
        </w:rPr>
        <w:t>，发挥</w:t>
      </w:r>
      <w:r>
        <w:rPr>
          <w:rFonts w:hint="eastAsia"/>
          <w:lang w:val="en-US" w:eastAsia="zh-CN"/>
        </w:rPr>
        <w:t>省市</w:t>
      </w:r>
      <w:r>
        <w:rPr>
          <w:rFonts w:hint="eastAsia"/>
        </w:rPr>
        <w:t>人才政策3.0版引才育才作用，实施“产业人才精准引育计划”，创新推广“候鸟型”人才引进和使用机制。</w:t>
      </w:r>
    </w:p>
    <w:p w14:paraId="4347E18B">
      <w:pPr>
        <w:bidi w:val="0"/>
        <w:rPr>
          <w:rFonts w:hint="eastAsia"/>
        </w:rPr>
      </w:pPr>
      <w:r>
        <w:rPr>
          <w:rFonts w:hint="eastAsia"/>
          <w:b/>
          <w:bCs/>
        </w:rPr>
        <w:t>持续优化创新生态。</w:t>
      </w:r>
      <w:r>
        <w:rPr>
          <w:rFonts w:hint="eastAsia"/>
          <w:lang w:val="en-US" w:eastAsia="zh-CN"/>
        </w:rPr>
        <w:t>探索建立科创投资基金，优化基金运营模式、决策机制和投后服务。</w:t>
      </w:r>
      <w:r>
        <w:rPr>
          <w:rFonts w:hint="eastAsia"/>
        </w:rPr>
        <w:t>鼓励银行</w:t>
      </w:r>
      <w:r>
        <w:rPr>
          <w:rFonts w:hint="eastAsia"/>
          <w:lang w:val="en-US" w:eastAsia="zh-CN"/>
        </w:rPr>
        <w:t>等金融</w:t>
      </w:r>
      <w:r>
        <w:rPr>
          <w:rFonts w:hint="eastAsia"/>
        </w:rPr>
        <w:t>机构推出更多科技金融产品，不断</w:t>
      </w:r>
      <w:r>
        <w:rPr>
          <w:rFonts w:hint="eastAsia"/>
          <w:lang w:val="en-US" w:eastAsia="zh-CN"/>
        </w:rPr>
        <w:t>增强</w:t>
      </w:r>
      <w:r>
        <w:rPr>
          <w:rFonts w:hint="eastAsia"/>
        </w:rPr>
        <w:t>科技创新</w:t>
      </w:r>
      <w:r>
        <w:rPr>
          <w:rFonts w:hint="eastAsia"/>
          <w:lang w:val="en-US" w:eastAsia="zh-CN"/>
        </w:rPr>
        <w:t>保障</w:t>
      </w:r>
      <w:r>
        <w:rPr>
          <w:rFonts w:hint="eastAsia"/>
        </w:rPr>
        <w:t>。</w:t>
      </w:r>
    </w:p>
    <w:p w14:paraId="3EA764BF">
      <w:pPr>
        <w:bidi w:val="0"/>
        <w:rPr>
          <w:rFonts w:hint="eastAsia"/>
          <w:lang w:eastAsia="zh-CN"/>
        </w:rPr>
      </w:pPr>
      <w:r>
        <w:rPr>
          <w:rFonts w:hint="eastAsia"/>
          <w:b/>
          <w:bCs/>
        </w:rPr>
        <w:t>推进</w:t>
      </w:r>
      <w:r>
        <w:rPr>
          <w:rFonts w:hint="eastAsia"/>
          <w:b/>
          <w:bCs/>
          <w:lang w:val="en-US" w:eastAsia="zh-CN"/>
        </w:rPr>
        <w:t>产学研用协同发展</w:t>
      </w:r>
      <w:r>
        <w:rPr>
          <w:rFonts w:hint="eastAsia"/>
          <w:b/>
          <w:bCs/>
          <w:lang w:eastAsia="zh-CN"/>
        </w:rPr>
        <w:t>。</w:t>
      </w:r>
      <w:r>
        <w:rPr>
          <w:rFonts w:hint="eastAsia"/>
          <w:lang w:val="en-US" w:eastAsia="zh-CN"/>
        </w:rPr>
        <w:t>加强与</w:t>
      </w:r>
      <w:r>
        <w:rPr>
          <w:rFonts w:hint="eastAsia"/>
        </w:rPr>
        <w:t>高等院校</w:t>
      </w:r>
      <w:r>
        <w:rPr>
          <w:rFonts w:hint="eastAsia"/>
          <w:lang w:val="en-US" w:eastAsia="zh-CN"/>
        </w:rPr>
        <w:t>和</w:t>
      </w:r>
      <w:r>
        <w:rPr>
          <w:rFonts w:hint="eastAsia"/>
        </w:rPr>
        <w:t>省实验室等创新资源合作</w:t>
      </w:r>
      <w:r>
        <w:rPr>
          <w:rFonts w:hint="eastAsia"/>
          <w:lang w:eastAsia="zh-CN"/>
        </w:rPr>
        <w:t>，</w:t>
      </w:r>
      <w:r>
        <w:rPr>
          <w:rFonts w:hint="eastAsia"/>
          <w:lang w:val="en-US" w:eastAsia="zh-CN"/>
        </w:rPr>
        <w:t>助力企业招引</w:t>
      </w:r>
      <w:r>
        <w:rPr>
          <w:rFonts w:hint="eastAsia"/>
          <w:lang w:eastAsia="zh-CN"/>
        </w:rPr>
        <w:t>前沿技术、</w:t>
      </w:r>
      <w:r>
        <w:rPr>
          <w:rFonts w:hint="eastAsia"/>
          <w:lang w:val="en-US" w:eastAsia="zh-CN"/>
        </w:rPr>
        <w:t>突破核心技术</w:t>
      </w:r>
      <w:r>
        <w:rPr>
          <w:rFonts w:hint="eastAsia"/>
          <w:lang w:eastAsia="zh-CN"/>
        </w:rPr>
        <w:t>，</w:t>
      </w:r>
      <w:r>
        <w:rPr>
          <w:rFonts w:hint="eastAsia"/>
          <w:lang w:val="en-US" w:eastAsia="zh-CN"/>
        </w:rPr>
        <w:t>推动</w:t>
      </w:r>
      <w:r>
        <w:rPr>
          <w:rFonts w:hint="eastAsia"/>
          <w:lang w:eastAsia="zh-CN"/>
        </w:rPr>
        <w:t>科技</w:t>
      </w:r>
      <w:r>
        <w:rPr>
          <w:rFonts w:hint="eastAsia"/>
          <w:lang w:val="en-US" w:eastAsia="zh-CN"/>
        </w:rPr>
        <w:t>创新</w:t>
      </w:r>
      <w:r>
        <w:rPr>
          <w:rFonts w:hint="eastAsia"/>
          <w:lang w:eastAsia="zh-CN"/>
        </w:rPr>
        <w:t>与产业创新深度融合。</w:t>
      </w:r>
      <w:r>
        <w:rPr>
          <w:rFonts w:hint="eastAsia"/>
          <w:lang w:val="en-US" w:eastAsia="zh-CN"/>
        </w:rPr>
        <w:t>支持</w:t>
      </w:r>
      <w:r>
        <w:rPr>
          <w:rFonts w:hint="eastAsia"/>
          <w:lang w:eastAsia="zh-CN"/>
        </w:rPr>
        <w:t>企业</w:t>
      </w:r>
      <w:r>
        <w:rPr>
          <w:rFonts w:hint="eastAsia"/>
          <w:lang w:val="en-US" w:eastAsia="zh-CN"/>
        </w:rPr>
        <w:t>开展科技攻关</w:t>
      </w:r>
      <w:r>
        <w:rPr>
          <w:rFonts w:hint="eastAsia"/>
          <w:lang w:eastAsia="zh-CN"/>
        </w:rPr>
        <w:t>，</w:t>
      </w:r>
      <w:r>
        <w:rPr>
          <w:rFonts w:hint="eastAsia"/>
          <w:lang w:val="en-US" w:eastAsia="zh-CN"/>
        </w:rPr>
        <w:t>解决</w:t>
      </w:r>
      <w:r>
        <w:rPr>
          <w:rFonts w:hint="eastAsia"/>
          <w:lang w:eastAsia="zh-CN"/>
        </w:rPr>
        <w:t>关键性技术难题。</w:t>
      </w:r>
    </w:p>
    <w:p w14:paraId="3FECF647">
      <w:pPr>
        <w:pStyle w:val="3"/>
        <w:keepNext w:val="0"/>
        <w:keepLines w:val="0"/>
        <w:pageBreakBefore w:val="0"/>
        <w:widowControl w:val="0"/>
        <w:numPr>
          <w:ilvl w:val="0"/>
          <w:numId w:val="0"/>
        </w:numPr>
        <w:kinsoku/>
        <w:wordWrap/>
        <w:overflowPunct/>
        <w:topLinePunct w:val="0"/>
        <w:autoSpaceDE/>
        <w:autoSpaceDN/>
        <w:bidi w:val="0"/>
        <w:adjustRightInd w:val="0"/>
        <w:snapToGrid/>
        <w:spacing w:before="157" w:beforeLines="50" w:after="157" w:afterLines="50" w:line="600" w:lineRule="exact"/>
        <w:ind w:left="0" w:leftChars="0" w:firstLine="0" w:firstLineChars="0"/>
        <w:jc w:val="center"/>
        <w:textAlignment w:val="baseline"/>
        <w:outlineLvl w:val="1"/>
        <w:rPr>
          <w:rFonts w:hint="eastAsia" w:hAnsi="仿宋_GB2312" w:cs="仿宋_GB2312"/>
          <w:b/>
          <w:bCs/>
          <w:color w:val="000000" w:themeColor="text1"/>
          <w:lang w:val="en-US" w:eastAsia="zh-CN"/>
          <w14:textFill>
            <w14:solidFill>
              <w14:schemeClr w14:val="tx1"/>
            </w14:solidFill>
          </w14:textFill>
        </w:rPr>
      </w:pPr>
      <w:bookmarkStart w:id="305" w:name="_Toc158114004"/>
      <w:bookmarkStart w:id="306" w:name="_Toc17540"/>
      <w:bookmarkStart w:id="307" w:name="_Toc1739402948"/>
      <w:bookmarkStart w:id="308" w:name="_Toc13063"/>
      <w:bookmarkStart w:id="309" w:name="_Toc264861146"/>
      <w:bookmarkStart w:id="310" w:name="_Toc501078550"/>
      <w:bookmarkStart w:id="311" w:name="_Toc21236"/>
      <w:bookmarkStart w:id="312" w:name="_Toc7370"/>
      <w:bookmarkStart w:id="313" w:name="_Toc172503872"/>
      <w:bookmarkStart w:id="314" w:name="_Toc18001"/>
      <w:bookmarkStart w:id="315" w:name="_Toc211154010"/>
      <w:bookmarkStart w:id="316" w:name="_Toc31481"/>
      <w:bookmarkStart w:id="317" w:name="_Toc30208"/>
      <w:bookmarkStart w:id="318" w:name="_Toc1492846981"/>
      <w:bookmarkStart w:id="319" w:name="_Toc217878487"/>
      <w:bookmarkStart w:id="320" w:name="_Toc178746771"/>
      <w:bookmarkStart w:id="321" w:name="_Toc707784935"/>
      <w:bookmarkStart w:id="322" w:name="_Toc1894329032"/>
      <w:bookmarkStart w:id="323" w:name="_Toc27049"/>
      <w:bookmarkStart w:id="324" w:name="_Toc338879982"/>
      <w:bookmarkStart w:id="325" w:name="_Toc1269474231"/>
      <w:bookmarkStart w:id="326" w:name="_Toc1030199310"/>
      <w:r>
        <w:rPr>
          <w:rFonts w:hint="eastAsia"/>
          <w:color w:val="000000" w:themeColor="text1"/>
          <w:lang w:val="en-US" w:eastAsia="zh-CN"/>
          <w14:textFill>
            <w14:solidFill>
              <w14:schemeClr w14:val="tx1"/>
            </w14:solidFill>
          </w14:textFill>
        </w:rPr>
        <w:t xml:space="preserve">第三节 </w:t>
      </w:r>
      <w:r>
        <w:rPr>
          <w:rFonts w:hint="eastAsia"/>
          <w:color w:val="000000" w:themeColor="text1"/>
          <w14:textFill>
            <w14:solidFill>
              <w14:schemeClr w14:val="tx1"/>
            </w14:solidFill>
          </w14:textFill>
        </w:rPr>
        <w:t>加速科技创新成果转化应用</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69AC1F52">
      <w:pPr>
        <w:keepNext w:val="0"/>
        <w:keepLines w:val="0"/>
        <w:pageBreakBefore w:val="0"/>
        <w:kinsoku/>
        <w:wordWrap/>
        <w:overflowPunct/>
        <w:topLinePunct w:val="0"/>
        <w:autoSpaceDE/>
        <w:autoSpaceDN/>
        <w:bidi w:val="0"/>
        <w:spacing w:line="600" w:lineRule="exact"/>
        <w:rPr>
          <w:rFonts w:hint="eastAsia" w:hAnsi="仿宋_GB2312" w:cs="仿宋_GB2312"/>
          <w:b w:val="0"/>
          <w:bCs w:val="0"/>
          <w:color w:val="000000" w:themeColor="text1"/>
          <w:lang w:val="en-US" w:eastAsia="zh-CN"/>
          <w14:textFill>
            <w14:solidFill>
              <w14:schemeClr w14:val="tx1"/>
            </w14:solidFill>
          </w14:textFill>
        </w:rPr>
      </w:pPr>
      <w:r>
        <w:rPr>
          <w:rFonts w:hint="eastAsia" w:hAnsi="仿宋_GB2312" w:cs="仿宋_GB2312"/>
          <w:b/>
          <w:bCs/>
          <w:color w:val="000000" w:themeColor="text1"/>
          <w:lang w:val="en-US" w:eastAsia="zh-CN"/>
          <w14:textFill>
            <w14:solidFill>
              <w14:schemeClr w14:val="tx1"/>
            </w14:solidFill>
          </w14:textFill>
        </w:rPr>
        <w:t>强化科技成果转化服务。</w:t>
      </w:r>
      <w:r>
        <w:rPr>
          <w:rFonts w:hint="eastAsia" w:hAnsi="仿宋_GB2312" w:cs="仿宋_GB2312"/>
          <w:b w:val="0"/>
          <w:bCs w:val="0"/>
          <w:color w:val="000000" w:themeColor="text1"/>
          <w:lang w:val="en-US" w:eastAsia="zh-CN"/>
          <w14:textFill>
            <w14:solidFill>
              <w14:schemeClr w14:val="tx1"/>
            </w14:solidFill>
          </w14:textFill>
        </w:rPr>
        <w:t>建立健全科技创新资源开放共享机制和服务平台，协同开展关键技术、核心技术攻关，共同打造科技创新策源地。</w:t>
      </w:r>
    </w:p>
    <w:p w14:paraId="6E7EAB73">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rPr>
      </w:pPr>
      <w:r>
        <w:rPr>
          <w:rFonts w:hint="eastAsia" w:hAnsi="仿宋_GB2312" w:cs="仿宋_GB2312"/>
          <w:b/>
          <w:bCs/>
          <w:color w:val="000000" w:themeColor="text1"/>
          <w:lang w:val="en-US" w:eastAsia="zh-CN"/>
          <w14:textFill>
            <w14:solidFill>
              <w14:schemeClr w14:val="tx1"/>
            </w14:solidFill>
          </w14:textFill>
        </w:rPr>
        <w:t>强化“双创”</w:t>
      </w:r>
      <w:r>
        <w:rPr>
          <w:rFonts w:hint="eastAsia" w:ascii="仿宋_GB2312" w:hAnsi="仿宋_GB2312" w:eastAsia="仿宋_GB2312" w:cs="仿宋_GB2312"/>
          <w:b/>
          <w:bCs/>
          <w:color w:val="000000" w:themeColor="text1"/>
          <w14:textFill>
            <w14:solidFill>
              <w14:schemeClr w14:val="tx1"/>
            </w14:solidFill>
          </w14:textFill>
        </w:rPr>
        <w:t>孵化</w:t>
      </w:r>
      <w:r>
        <w:rPr>
          <w:rFonts w:hint="eastAsia" w:hAnsi="仿宋_GB2312" w:cs="仿宋_GB2312"/>
          <w:b/>
          <w:bCs/>
          <w:color w:val="000000" w:themeColor="text1"/>
          <w:lang w:val="en-US" w:eastAsia="zh-CN"/>
          <w14:textFill>
            <w14:solidFill>
              <w14:schemeClr w14:val="tx1"/>
            </w14:solidFill>
          </w14:textFill>
        </w:rPr>
        <w:t>平台建设</w:t>
      </w:r>
      <w:r>
        <w:rPr>
          <w:rFonts w:hint="eastAsia" w:ascii="仿宋_GB2312" w:hAnsi="仿宋_GB2312" w:eastAsia="仿宋_GB2312" w:cs="仿宋_GB2312"/>
          <w:b/>
          <w:bCs/>
          <w:color w:val="000000" w:themeColor="text1"/>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鼓励企</w:t>
      </w:r>
      <w:r>
        <w:rPr>
          <w:rFonts w:hint="eastAsia" w:ascii="仿宋_GB2312" w:hAnsi="仿宋_GB2312" w:eastAsia="仿宋_GB2312" w:cs="仿宋_GB2312"/>
        </w:rPr>
        <w:t>业联合高校院所开展技术研发，依托</w:t>
      </w:r>
      <w:r>
        <w:rPr>
          <w:rFonts w:hint="eastAsia" w:ascii="仿宋_GB2312" w:hAnsi="仿宋_GB2312" w:cs="仿宋_GB2312"/>
          <w:lang w:val="en-US" w:eastAsia="zh-CN"/>
        </w:rPr>
        <w:t>创新创业</w:t>
      </w:r>
      <w:r>
        <w:rPr>
          <w:rFonts w:hint="eastAsia" w:ascii="仿宋_GB2312" w:hAnsi="仿宋_GB2312" w:eastAsia="仿宋_GB2312" w:cs="仿宋_GB2312"/>
        </w:rPr>
        <w:t>孵化器聚焦专业领域、搭建专业平台、引进专业人才，培育发展新兴和未来产业。</w:t>
      </w:r>
    </w:p>
    <w:p w14:paraId="3707AB7C">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cs="仿宋_GB2312"/>
          <w:b/>
          <w:bCs/>
          <w:lang w:val="en-US" w:eastAsia="zh-CN"/>
        </w:rPr>
        <w:t>推动</w:t>
      </w:r>
      <w:r>
        <w:rPr>
          <w:rFonts w:hint="eastAsia" w:ascii="仿宋_GB2312" w:hAnsi="仿宋_GB2312" w:eastAsia="仿宋_GB2312" w:cs="仿宋_GB2312"/>
          <w:b/>
          <w:bCs/>
          <w:color w:val="000000" w:themeColor="text1"/>
          <w:lang w:val="en-US" w:eastAsia="zh-CN"/>
          <w14:textFill>
            <w14:solidFill>
              <w14:schemeClr w14:val="tx1"/>
            </w14:solidFill>
          </w14:textFill>
        </w:rPr>
        <w:t>科技成果落地转化</w:t>
      </w:r>
      <w:r>
        <w:rPr>
          <w:rFonts w:hint="eastAsia" w:ascii="仿宋_GB2312" w:hAnsi="仿宋_GB2312" w:eastAsia="仿宋_GB2312" w:cs="仿宋_GB2312"/>
          <w:b/>
          <w:bCs/>
          <w:color w:val="000000" w:themeColor="text1"/>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纵深推进“5616”科创行动计划，落实科技成果“先使用后付费”“先投后股”等改革措施</w:t>
      </w:r>
      <w:r>
        <w:rPr>
          <w:rFonts w:hint="eastAsia" w:hAnsi="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提升科技成果转化动能。</w:t>
      </w:r>
    </w:p>
    <w:p w14:paraId="51C96F20">
      <w:pPr>
        <w:keepNext w:val="0"/>
        <w:keepLines w:val="0"/>
        <w:pageBreakBefore w:val="0"/>
        <w:kinsoku/>
        <w:wordWrap/>
        <w:overflowPunct/>
        <w:topLinePunct w:val="0"/>
        <w:autoSpaceDE/>
        <w:autoSpaceDN/>
        <w:bidi w:val="0"/>
        <w:spacing w:line="600" w:lineRule="exact"/>
        <w:ind w:firstLine="640"/>
        <w:rPr>
          <w:rFonts w:hint="eastAsia" w:ascii="仿宋_GB2312" w:hAnsi="仿宋_GB2312" w:eastAsia="仿宋_GB2312" w:cs="仿宋_GB2312"/>
          <w:color w:val="000000" w:themeColor="text1"/>
          <w14:textFill>
            <w14:solidFill>
              <w14:schemeClr w14:val="tx1"/>
            </w14:solidFill>
          </w14:textFill>
        </w:rPr>
      </w:pPr>
      <w:bookmarkStart w:id="327" w:name="_Toc1546641056"/>
      <w:bookmarkStart w:id="328" w:name="_Toc450460425"/>
      <w:bookmarkStart w:id="329" w:name="_Toc169653254"/>
      <w:bookmarkStart w:id="330" w:name="_Toc23972"/>
      <w:bookmarkStart w:id="331" w:name="_Toc1343809963"/>
      <w:bookmarkStart w:id="332" w:name="_Toc2014841691"/>
      <w:bookmarkStart w:id="333" w:name="_Toc829481812"/>
      <w:bookmarkStart w:id="334" w:name="_Toc16652"/>
      <w:bookmarkStart w:id="335" w:name="_Toc984793889"/>
      <w:bookmarkStart w:id="336" w:name="_Toc1935164238"/>
      <w:bookmarkStart w:id="337" w:name="_Toc17400"/>
      <w:bookmarkStart w:id="338" w:name="_Toc803367472"/>
      <w:bookmarkStart w:id="339" w:name="_Toc7040"/>
      <w:bookmarkStart w:id="340" w:name="_Toc1227761766"/>
      <w:bookmarkStart w:id="341" w:name="_Toc1542974049"/>
      <w:bookmarkStart w:id="342" w:name="_Toc424112874"/>
      <w:bookmarkStart w:id="343" w:name="_Toc429225630"/>
      <w:r>
        <w:rPr>
          <w:rFonts w:hint="eastAsia" w:ascii="仿宋_GB2312" w:hAnsi="仿宋_GB2312" w:eastAsia="仿宋_GB2312" w:cs="仿宋_GB2312"/>
          <w:color w:val="000000" w:themeColor="text1"/>
          <w14:textFill>
            <w14:solidFill>
              <w14:schemeClr w14:val="tx1"/>
            </w14:solidFill>
          </w14:textFill>
        </w:rPr>
        <w:br w:type="page"/>
      </w:r>
      <w:bookmarkStart w:id="344" w:name="_Toc29970"/>
      <w:bookmarkStart w:id="345" w:name="_Toc20082"/>
    </w:p>
    <w:p w14:paraId="2D3FF5CA">
      <w:pPr>
        <w:pStyle w:val="2"/>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textAlignment w:val="auto"/>
        <w:rPr>
          <w:color w:val="000000" w:themeColor="text1"/>
          <w14:textFill>
            <w14:solidFill>
              <w14:schemeClr w14:val="tx1"/>
            </w14:solidFill>
          </w14:textFill>
        </w:rPr>
      </w:pPr>
      <w:bookmarkStart w:id="346" w:name="_Toc5781"/>
      <w:bookmarkStart w:id="347" w:name="_Toc22317"/>
      <w:bookmarkStart w:id="348" w:name="_Toc211154011"/>
      <w:r>
        <w:rPr>
          <w:rFonts w:hint="eastAsia"/>
          <w:color w:val="000000" w:themeColor="text1"/>
          <w14:textFill>
            <w14:solidFill>
              <w14:schemeClr w14:val="tx1"/>
            </w14:solidFill>
          </w14:textFill>
        </w:rPr>
        <w:t xml:space="preserve">第六章 </w:t>
      </w:r>
      <w:r>
        <w:rPr>
          <w:rFonts w:hint="eastAsia"/>
          <w:color w:val="000000" w:themeColor="text1"/>
          <w:lang w:val="en-US" w:eastAsia="zh-CN"/>
          <w14:textFill>
            <w14:solidFill>
              <w14:schemeClr w14:val="tx1"/>
            </w14:solidFill>
          </w14:textFill>
        </w:rPr>
        <w:t>建设</w:t>
      </w:r>
      <w:r>
        <w:rPr>
          <w:rFonts w:hint="eastAsia"/>
          <w:color w:val="000000" w:themeColor="text1"/>
          <w14:textFill>
            <w14:solidFill>
              <w14:schemeClr w14:val="tx1"/>
            </w14:solidFill>
          </w14:textFill>
        </w:rPr>
        <w:t>一流营商环境，提升区域</w:t>
      </w:r>
      <w:r>
        <w:rPr>
          <w:rFonts w:hint="eastAsia"/>
          <w:color w:val="000000" w:themeColor="text1"/>
          <w:lang w:val="en-US" w:eastAsia="zh-CN"/>
          <w14:textFill>
            <w14:solidFill>
              <w14:schemeClr w14:val="tx1"/>
            </w14:solidFill>
          </w14:textFill>
        </w:rPr>
        <w:t>综合</w:t>
      </w:r>
      <w:r>
        <w:rPr>
          <w:rFonts w:hint="eastAsia"/>
          <w:color w:val="000000" w:themeColor="text1"/>
          <w14:textFill>
            <w14:solidFill>
              <w14:schemeClr w14:val="tx1"/>
            </w14:solidFill>
          </w14:textFill>
        </w:rPr>
        <w:t>竞争力</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8494DA6">
      <w:pPr>
        <w:keepNext w:val="0"/>
        <w:keepLines w:val="0"/>
        <w:pageBreakBefore w:val="0"/>
        <w:kinsoku/>
        <w:wordWrap/>
        <w:overflowPunct/>
        <w:topLinePunct w:val="0"/>
        <w:autoSpaceDE/>
        <w:autoSpaceDN/>
        <w:bidi w:val="0"/>
        <w:spacing w:line="600" w:lineRule="exact"/>
        <w:ind w:firstLine="64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以融入全国统一大市场为牵引，聚焦系统性改革与制度型开放双向发力，全力创建一流营商环境，提升民营经济发展能级，以高水平制度供给赋能经济高质量发展。</w:t>
      </w:r>
    </w:p>
    <w:p w14:paraId="6AEADCD8">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ind w:firstLine="0" w:firstLineChars="0"/>
        <w:textAlignment w:val="baseline"/>
        <w:outlineLvl w:val="1"/>
        <w:rPr>
          <w:rFonts w:hint="eastAsia" w:ascii="仿宋_GB2312" w:eastAsia="仿宋_GB2312"/>
          <w:b/>
          <w:bCs/>
          <w:color w:val="000000" w:themeColor="text1"/>
          <w14:textFill>
            <w14:solidFill>
              <w14:schemeClr w14:val="tx1"/>
            </w14:solidFill>
          </w14:textFill>
        </w:rPr>
      </w:pPr>
      <w:bookmarkStart w:id="349" w:name="_Toc1899804018"/>
      <w:bookmarkStart w:id="350" w:name="_Toc18758"/>
      <w:bookmarkStart w:id="351" w:name="_Toc11253"/>
      <w:bookmarkStart w:id="352" w:name="_Toc665514251"/>
      <w:bookmarkStart w:id="353" w:name="_Toc1651440409"/>
      <w:bookmarkStart w:id="354" w:name="_Toc1784461607"/>
      <w:bookmarkStart w:id="355" w:name="_Toc12842"/>
      <w:bookmarkStart w:id="356" w:name="_Toc597593137"/>
      <w:bookmarkStart w:id="357" w:name="_Toc566848925"/>
      <w:bookmarkStart w:id="358" w:name="_Toc774424994"/>
      <w:bookmarkStart w:id="359" w:name="_Toc32454"/>
      <w:bookmarkStart w:id="360" w:name="_Toc1969120786"/>
      <w:bookmarkStart w:id="361" w:name="_Toc1008507300"/>
      <w:bookmarkStart w:id="362" w:name="_Toc967413215"/>
      <w:bookmarkStart w:id="363" w:name="_Toc7737"/>
      <w:bookmarkStart w:id="364" w:name="_Toc1922154741"/>
      <w:bookmarkStart w:id="365" w:name="_Toc91"/>
      <w:bookmarkStart w:id="366" w:name="_Toc1254164904"/>
      <w:bookmarkStart w:id="367" w:name="_Toc31605"/>
      <w:bookmarkStart w:id="368" w:name="_Toc28930"/>
      <w:bookmarkStart w:id="369" w:name="_Toc328532642"/>
      <w:bookmarkStart w:id="370" w:name="_Toc211154012"/>
      <w:r>
        <w:rPr>
          <w:rFonts w:hint="eastAsia"/>
          <w:color w:val="000000" w:themeColor="text1"/>
          <w14:textFill>
            <w14:solidFill>
              <w14:schemeClr w14:val="tx1"/>
            </w14:solidFill>
          </w14:textFill>
        </w:rPr>
        <w:t xml:space="preserve">第一节 </w:t>
      </w:r>
      <w:r>
        <w:rPr>
          <w:rFonts w:hint="eastAsia"/>
          <w:color w:val="000000" w:themeColor="text1"/>
          <w:lang w:val="en-US" w:eastAsia="zh-CN"/>
          <w14:textFill>
            <w14:solidFill>
              <w14:schemeClr w14:val="tx1"/>
            </w14:solidFill>
          </w14:textFill>
        </w:rPr>
        <w:t>优化</w:t>
      </w:r>
      <w:r>
        <w:rPr>
          <w:rFonts w:hint="eastAsia"/>
          <w:color w:val="000000" w:themeColor="text1"/>
          <w14:textFill>
            <w14:solidFill>
              <w14:schemeClr w14:val="tx1"/>
            </w14:solidFill>
          </w14:textFill>
        </w:rPr>
        <w:t>营商环境</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687A75A">
      <w:pPr>
        <w:keepNext w:val="0"/>
        <w:keepLines w:val="0"/>
        <w:pageBreakBefore w:val="0"/>
        <w:kinsoku/>
        <w:wordWrap/>
        <w:overflowPunct/>
        <w:topLinePunct w:val="0"/>
        <w:autoSpaceDE/>
        <w:autoSpaceDN/>
        <w:bidi w:val="0"/>
        <w:spacing w:line="600" w:lineRule="exact"/>
        <w:rPr>
          <w:rFonts w:hint="eastAsia" w:ascii="仿宋_GB2312" w:eastAsia="仿宋_GB2312"/>
        </w:rPr>
      </w:pPr>
      <w:r>
        <w:rPr>
          <w:rFonts w:hint="eastAsia" w:ascii="仿宋_GB2312" w:eastAsia="仿宋_GB2312"/>
          <w:b/>
          <w:bCs/>
        </w:rPr>
        <w:t>优化企业准入退出环境</w:t>
      </w:r>
      <w:r>
        <w:rPr>
          <w:rFonts w:hint="eastAsia"/>
          <w:b/>
          <w:bCs/>
          <w:lang w:eastAsia="zh-CN"/>
        </w:rPr>
        <w:t>。</w:t>
      </w:r>
      <w:r>
        <w:rPr>
          <w:rFonts w:hint="eastAsia" w:ascii="仿宋_GB2312" w:eastAsia="仿宋_GB2312"/>
        </w:rPr>
        <w:t>完善市场准入准出“一张清单”管理模式，清理变相审批和隐性门槛。动态精简行政权力事项，强化事项办理动态管理，不断提升服务事项准确度、满意度。</w:t>
      </w:r>
    </w:p>
    <w:p w14:paraId="4C113148">
      <w:pPr>
        <w:keepNext w:val="0"/>
        <w:keepLines w:val="0"/>
        <w:pageBreakBefore w:val="0"/>
        <w:kinsoku/>
        <w:wordWrap/>
        <w:overflowPunct/>
        <w:topLinePunct w:val="0"/>
        <w:autoSpaceDE/>
        <w:autoSpaceDN/>
        <w:bidi w:val="0"/>
        <w:spacing w:line="600" w:lineRule="exact"/>
        <w:rPr>
          <w:rFonts w:hint="eastAsia" w:ascii="仿宋_GB2312" w:eastAsia="仿宋_GB2312"/>
        </w:rPr>
      </w:pPr>
      <w:r>
        <w:rPr>
          <w:rFonts w:hint="eastAsia" w:ascii="仿宋_GB2312" w:eastAsia="仿宋_GB2312"/>
          <w:b/>
          <w:bCs/>
        </w:rPr>
        <w:t>优化生产运营环境</w:t>
      </w:r>
      <w:r>
        <w:rPr>
          <w:rFonts w:hint="eastAsia"/>
          <w:b/>
          <w:bCs/>
          <w:lang w:eastAsia="zh-CN"/>
        </w:rPr>
        <w:t>。</w:t>
      </w:r>
      <w:r>
        <w:rPr>
          <w:rFonts w:hint="eastAsia" w:ascii="仿宋_GB2312" w:eastAsia="仿宋_GB2312"/>
          <w:lang w:val="en-US" w:eastAsia="zh-CN"/>
        </w:rPr>
        <w:t>落实全国统一大市场制度，</w:t>
      </w:r>
      <w:r>
        <w:rPr>
          <w:rFonts w:hint="eastAsia" w:ascii="仿宋_GB2312" w:eastAsia="仿宋_GB2312"/>
        </w:rPr>
        <w:t>以破除地域分割和行业壁垒为突破口，由龙头企业牵头，推动产品技术标准、质量认证体系与全国市场标准相一致。</w:t>
      </w:r>
      <w:bookmarkStart w:id="371" w:name="_Toc5051"/>
      <w:bookmarkStart w:id="372" w:name="_Toc29351"/>
    </w:p>
    <w:p w14:paraId="6204FCAA">
      <w:pPr>
        <w:keepNext w:val="0"/>
        <w:keepLines w:val="0"/>
        <w:pageBreakBefore w:val="0"/>
        <w:kinsoku/>
        <w:wordWrap/>
        <w:overflowPunct/>
        <w:topLinePunct w:val="0"/>
        <w:autoSpaceDE/>
        <w:autoSpaceDN/>
        <w:bidi w:val="0"/>
        <w:spacing w:line="600" w:lineRule="exact"/>
        <w:rPr>
          <w:rFonts w:ascii="仿宋_GB2312" w:eastAsia="仿宋_GB2312"/>
          <w:color w:val="000000" w:themeColor="text1"/>
          <w14:textFill>
            <w14:solidFill>
              <w14:schemeClr w14:val="tx1"/>
            </w14:solidFill>
          </w14:textFill>
        </w:rPr>
      </w:pPr>
      <w:r>
        <w:rPr>
          <w:rFonts w:hint="eastAsia"/>
          <w:b/>
          <w:bCs/>
          <w:lang w:val="en-US" w:eastAsia="zh-CN"/>
        </w:rPr>
        <w:t>优化</w:t>
      </w:r>
      <w:r>
        <w:rPr>
          <w:rFonts w:hint="eastAsia" w:ascii="仿宋_GB2312" w:eastAsia="仿宋_GB2312"/>
          <w:b/>
          <w:bCs/>
        </w:rPr>
        <w:t>信用</w:t>
      </w:r>
      <w:bookmarkEnd w:id="371"/>
      <w:bookmarkEnd w:id="372"/>
      <w:r>
        <w:rPr>
          <w:rFonts w:hint="eastAsia"/>
          <w:b/>
          <w:bCs/>
          <w:lang w:val="en-US" w:eastAsia="zh-CN"/>
        </w:rPr>
        <w:t>环境</w:t>
      </w:r>
      <w:r>
        <w:rPr>
          <w:rFonts w:hint="eastAsia" w:ascii="仿宋_GB2312" w:eastAsia="仿宋_GB2312"/>
          <w:b/>
          <w:bCs/>
        </w:rPr>
        <w:t>。</w:t>
      </w:r>
      <w:r>
        <w:rPr>
          <w:rFonts w:hint="eastAsia" w:ascii="仿宋_GB2312" w:eastAsia="仿宋_GB2312"/>
        </w:rPr>
        <w:t>聚焦政务诚信、商务诚信、社会诚信和司法公信等重点领域信用建设</w:t>
      </w:r>
      <w:r>
        <w:rPr>
          <w:rFonts w:hint="eastAsia" w:ascii="仿宋_GB2312" w:eastAsia="仿宋_GB2312"/>
          <w:lang w:eastAsia="zh-CN"/>
        </w:rPr>
        <w:t>。</w:t>
      </w:r>
      <w:r>
        <w:rPr>
          <w:rFonts w:hint="eastAsia" w:ascii="仿宋_GB2312" w:eastAsia="仿宋_GB2312"/>
        </w:rPr>
        <w:t>探索强化商贸领域信用监管，在商圈推行“信用红标”公示制度</w:t>
      </w:r>
      <w:r>
        <w:rPr>
          <w:rFonts w:hint="eastAsia"/>
          <w:lang w:eastAsia="zh-CN"/>
        </w:rPr>
        <w:t>，</w:t>
      </w:r>
      <w:r>
        <w:rPr>
          <w:rFonts w:hint="eastAsia" w:ascii="仿宋_GB2312" w:eastAsia="仿宋_GB2312"/>
        </w:rPr>
        <w:t>提高市场公平竞争水平</w:t>
      </w:r>
      <w:r>
        <w:rPr>
          <w:rFonts w:hint="eastAsia" w:ascii="仿宋_GB2312" w:eastAsia="仿宋_GB2312"/>
          <w:color w:val="000000" w:themeColor="text1"/>
          <w14:textFill>
            <w14:solidFill>
              <w14:schemeClr w14:val="tx1"/>
            </w14:solidFill>
          </w14:textFill>
        </w:rPr>
        <w:t>。</w:t>
      </w:r>
    </w:p>
    <w:p w14:paraId="65D5DF74">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ind w:firstLine="0" w:firstLineChars="0"/>
        <w:textAlignment w:val="baseline"/>
        <w:outlineLvl w:val="1"/>
        <w:rPr>
          <w:rFonts w:hint="eastAsia" w:eastAsia="楷体"/>
          <w:color w:val="000000" w:themeColor="text1"/>
          <w:lang w:eastAsia="zh-CN"/>
          <w14:textFill>
            <w14:solidFill>
              <w14:schemeClr w14:val="tx1"/>
            </w14:solidFill>
          </w14:textFill>
        </w:rPr>
      </w:pPr>
      <w:bookmarkStart w:id="373" w:name="_Toc1837098494"/>
      <w:bookmarkStart w:id="374" w:name="_Toc1197546223"/>
      <w:bookmarkStart w:id="375" w:name="_Toc792424383"/>
      <w:bookmarkStart w:id="376" w:name="_Toc6020"/>
      <w:bookmarkStart w:id="377" w:name="_Toc1680300235"/>
      <w:bookmarkStart w:id="378" w:name="_Toc18369"/>
      <w:bookmarkStart w:id="379" w:name="_Toc142566385"/>
      <w:bookmarkStart w:id="380" w:name="_Toc13541"/>
      <w:bookmarkStart w:id="381" w:name="_Toc1219266930"/>
      <w:bookmarkStart w:id="382" w:name="_Toc3082"/>
      <w:bookmarkStart w:id="383" w:name="_Toc211154013"/>
      <w:bookmarkStart w:id="384" w:name="_Toc2009973338"/>
      <w:bookmarkStart w:id="385" w:name="_Toc467657657"/>
      <w:bookmarkStart w:id="386" w:name="_Toc17436"/>
      <w:bookmarkStart w:id="387" w:name="_Toc715213068"/>
      <w:bookmarkStart w:id="388" w:name="_Toc24438"/>
      <w:bookmarkStart w:id="389" w:name="_Toc2041248976"/>
      <w:bookmarkStart w:id="390" w:name="_Toc2114320187"/>
      <w:bookmarkStart w:id="391" w:name="_Toc1203182981"/>
      <w:bookmarkStart w:id="392" w:name="_Toc1058230166"/>
      <w:bookmarkStart w:id="393" w:name="_Toc16778"/>
      <w:bookmarkStart w:id="394" w:name="_Toc15740"/>
      <w:r>
        <w:rPr>
          <w:rFonts w:hint="eastAsia"/>
          <w:color w:val="000000" w:themeColor="text1"/>
          <w14:textFill>
            <w14:solidFill>
              <w14:schemeClr w14:val="tx1"/>
            </w14:solidFill>
          </w14:textFill>
        </w:rPr>
        <w:t>第二节 促进民营经济发展</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16D137F6">
      <w:pPr>
        <w:pBdr>
          <w:bottom w:val="single" w:color="FFFFFF" w:sz="4" w:space="24"/>
        </w:pBdr>
        <w:overflowPunct w:val="0"/>
        <w:autoSpaceDE w:val="0"/>
        <w:autoSpaceDN w:val="0"/>
        <w:spacing w:line="600" w:lineRule="exact"/>
        <w:rPr>
          <w:rFonts w:hint="eastAsia" w:ascii="仿宋_GB2312" w:hAnsi="仿宋_GB2312" w:eastAsia="仿宋_GB2312" w:cs="仿宋_GB2312"/>
          <w:lang w:eastAsia="zh-CN"/>
        </w:rPr>
      </w:pPr>
      <w:r>
        <w:rPr>
          <w:rFonts w:hint="eastAsia" w:hAnsi="仿宋_GB2312" w:cs="仿宋_GB2312"/>
          <w:b/>
          <w:bCs/>
          <w:lang w:val="en-US" w:eastAsia="zh-CN"/>
        </w:rPr>
        <w:t>保护和</w:t>
      </w:r>
      <w:r>
        <w:rPr>
          <w:rFonts w:hint="eastAsia" w:ascii="仿宋_GB2312" w:hAnsi="仿宋_GB2312" w:eastAsia="仿宋_GB2312" w:cs="仿宋_GB2312"/>
          <w:b/>
          <w:bCs/>
        </w:rPr>
        <w:t>弘扬优秀企业家精神</w:t>
      </w:r>
      <w:r>
        <w:rPr>
          <w:rFonts w:hint="eastAsia" w:hAnsi="仿宋_GB2312" w:cs="仿宋_GB2312"/>
          <w:b/>
          <w:bCs/>
          <w:lang w:eastAsia="zh-CN"/>
        </w:rPr>
        <w:t>。</w:t>
      </w:r>
      <w:r>
        <w:rPr>
          <w:rFonts w:hint="eastAsia" w:hAnsi="仿宋_GB2312" w:cs="仿宋_GB2312"/>
          <w:lang w:val="en-US" w:eastAsia="zh-CN"/>
        </w:rPr>
        <w:t>推荐域内企业家争取省市荣誉，</w:t>
      </w:r>
      <w:r>
        <w:rPr>
          <w:rFonts w:hint="eastAsia" w:ascii="仿宋_GB2312" w:hAnsi="仿宋_GB2312" w:eastAsia="仿宋_GB2312" w:cs="仿宋_GB2312"/>
          <w:lang w:eastAsia="zh-CN"/>
        </w:rPr>
        <w:t>完善民营企业人才培养</w:t>
      </w:r>
      <w:r>
        <w:rPr>
          <w:rFonts w:hint="eastAsia" w:hAnsi="仿宋_GB2312" w:cs="仿宋_GB2312"/>
          <w:lang w:eastAsia="zh-CN"/>
        </w:rPr>
        <w:t>、</w:t>
      </w:r>
      <w:r>
        <w:rPr>
          <w:rFonts w:hint="eastAsia" w:ascii="仿宋_GB2312" w:hAnsi="仿宋_GB2312" w:eastAsia="仿宋_GB2312" w:cs="仿宋_GB2312"/>
          <w:lang w:eastAsia="zh-CN"/>
        </w:rPr>
        <w:t>评价、保障等机制，吸引高层次人才和职业经理人进入民营企业。</w:t>
      </w:r>
    </w:p>
    <w:p w14:paraId="4050090C">
      <w:pPr>
        <w:pBdr>
          <w:bottom w:val="single" w:color="FFFFFF" w:sz="4" w:space="24"/>
        </w:pBdr>
        <w:overflowPunct w:val="0"/>
        <w:autoSpaceDE w:val="0"/>
        <w:autoSpaceDN w:val="0"/>
        <w:spacing w:line="600" w:lineRule="exact"/>
        <w:rPr>
          <w:rFonts w:hint="eastAsia" w:ascii="仿宋_GB2312" w:hAnsi="仿宋_GB2312" w:eastAsia="仿宋_GB2312" w:cs="仿宋_GB2312"/>
          <w:lang w:eastAsia="zh-CN"/>
        </w:rPr>
      </w:pPr>
      <w:r>
        <w:rPr>
          <w:rFonts w:hint="eastAsia" w:hAnsi="仿宋_GB2312" w:cs="仿宋_GB2312"/>
          <w:b/>
          <w:bCs/>
          <w:lang w:val="en-US" w:eastAsia="zh-CN"/>
        </w:rPr>
        <w:t>培育</w:t>
      </w:r>
      <w:r>
        <w:rPr>
          <w:rFonts w:hint="eastAsia" w:ascii="仿宋_GB2312" w:hAnsi="仿宋_GB2312" w:eastAsia="仿宋_GB2312" w:cs="仿宋_GB2312"/>
          <w:b/>
          <w:bCs/>
        </w:rPr>
        <w:t>壮大民营经济</w:t>
      </w:r>
      <w:r>
        <w:rPr>
          <w:rFonts w:hint="eastAsia" w:hAnsi="仿宋_GB2312" w:cs="仿宋_GB2312"/>
          <w:b/>
          <w:bCs/>
          <w:lang w:val="en-US" w:eastAsia="zh-CN"/>
        </w:rPr>
        <w:t>发展</w:t>
      </w:r>
      <w:r>
        <w:rPr>
          <w:rFonts w:hint="eastAsia" w:ascii="仿宋_GB2312" w:hAnsi="仿宋_GB2312" w:eastAsia="仿宋_GB2312" w:cs="仿宋_GB2312"/>
          <w:b/>
          <w:bCs/>
        </w:rPr>
        <w:t>主体</w:t>
      </w:r>
      <w:bookmarkStart w:id="395" w:name="_Toc1663389735"/>
      <w:r>
        <w:rPr>
          <w:rFonts w:hint="eastAsia" w:ascii="仿宋_GB2312" w:hAnsi="仿宋_GB2312" w:eastAsia="仿宋_GB2312" w:cs="仿宋_GB2312"/>
          <w:b/>
          <w:bCs/>
        </w:rPr>
        <w:t>。</w:t>
      </w:r>
      <w:r>
        <w:rPr>
          <w:rFonts w:hint="eastAsia" w:ascii="仿宋_GB2312" w:hAnsi="仿宋_GB2312" w:eastAsia="仿宋_GB2312" w:cs="仿宋_GB2312"/>
        </w:rPr>
        <w:t>激发创新创业活力，引导民企向</w:t>
      </w:r>
      <w:r>
        <w:rPr>
          <w:rFonts w:hint="eastAsia" w:ascii="仿宋_GB2312" w:hAnsi="仿宋_GB2312" w:eastAsia="仿宋_GB2312" w:cs="仿宋_GB2312"/>
          <w:lang w:val="en-US" w:eastAsia="zh-CN"/>
        </w:rPr>
        <w:t>制造</w:t>
      </w:r>
      <w:r>
        <w:rPr>
          <w:rFonts w:hint="eastAsia" w:hAnsi="仿宋_GB2312" w:cs="仿宋_GB2312"/>
          <w:lang w:val="en-US" w:eastAsia="zh-CN"/>
        </w:rPr>
        <w:t>业</w:t>
      </w:r>
      <w:r>
        <w:rPr>
          <w:rFonts w:hint="eastAsia" w:ascii="仿宋_GB2312" w:hAnsi="仿宋_GB2312" w:eastAsia="仿宋_GB2312" w:cs="仿宋_GB2312"/>
          <w:lang w:val="en-US" w:eastAsia="zh-CN"/>
        </w:rPr>
        <w:t>、服务业等</w:t>
      </w:r>
      <w:r>
        <w:rPr>
          <w:rFonts w:hint="eastAsia" w:ascii="仿宋_GB2312" w:hAnsi="仿宋_GB2312" w:eastAsia="仿宋_GB2312" w:cs="仿宋_GB2312"/>
        </w:rPr>
        <w:t>产业集聚。</w:t>
      </w:r>
      <w:bookmarkEnd w:id="395"/>
      <w:r>
        <w:rPr>
          <w:rFonts w:hint="eastAsia" w:ascii="仿宋_GB2312" w:hAnsi="仿宋_GB2312" w:eastAsia="仿宋_GB2312" w:cs="仿宋_GB2312"/>
        </w:rPr>
        <w:t>实施数字化转型行动，支持</w:t>
      </w:r>
      <w:r>
        <w:rPr>
          <w:rFonts w:hint="eastAsia" w:ascii="仿宋_GB2312" w:hAnsi="仿宋_GB2312" w:cs="仿宋_GB2312"/>
          <w:lang w:val="en-US" w:eastAsia="zh-CN"/>
        </w:rPr>
        <w:t>民营</w:t>
      </w:r>
      <w:r>
        <w:rPr>
          <w:rFonts w:hint="eastAsia" w:ascii="仿宋_GB2312" w:hAnsi="仿宋_GB2312" w:eastAsia="仿宋_GB2312" w:cs="仿宋_GB2312"/>
        </w:rPr>
        <w:t>企业建设智能工厂</w:t>
      </w:r>
      <w:r>
        <w:rPr>
          <w:rFonts w:hint="eastAsia" w:hAnsi="仿宋_GB2312" w:cs="仿宋_GB2312"/>
          <w:lang w:eastAsia="zh-CN"/>
        </w:rPr>
        <w:t>、</w:t>
      </w:r>
      <w:r>
        <w:rPr>
          <w:rFonts w:hint="eastAsia" w:hAnsi="仿宋_GB2312" w:cs="仿宋_GB2312"/>
          <w:lang w:val="en-US" w:eastAsia="zh-CN"/>
        </w:rPr>
        <w:t>创建绿色工厂</w:t>
      </w:r>
      <w:r>
        <w:rPr>
          <w:rFonts w:hint="eastAsia" w:ascii="仿宋_GB2312" w:hAnsi="仿宋_GB2312" w:eastAsia="仿宋_GB2312" w:cs="仿宋_GB2312"/>
          <w:lang w:eastAsia="zh-CN"/>
        </w:rPr>
        <w:t>。</w:t>
      </w:r>
    </w:p>
    <w:p w14:paraId="73DB7479">
      <w:pPr>
        <w:pBdr>
          <w:bottom w:val="single" w:color="FFFFFF" w:sz="4" w:space="24"/>
        </w:pBdr>
        <w:overflowPunct w:val="0"/>
        <w:autoSpaceDE w:val="0"/>
        <w:autoSpaceDN w:val="0"/>
        <w:spacing w:line="600" w:lineRule="exact"/>
        <w:rPr>
          <w:rFonts w:hint="eastAsia" w:ascii="仿宋_GB2312" w:hAnsi="仿宋_GB2312" w:eastAsia="仿宋_GB2312" w:cs="仿宋_GB2312"/>
        </w:rPr>
      </w:pPr>
      <w:r>
        <w:rPr>
          <w:rFonts w:hint="eastAsia" w:ascii="仿宋_GB2312" w:hAnsi="仿宋_GB2312" w:eastAsia="仿宋_GB2312" w:cs="仿宋_GB2312"/>
          <w:b/>
          <w:bCs/>
        </w:rPr>
        <w:t>推进民营经济集群发展。</w:t>
      </w:r>
      <w:r>
        <w:rPr>
          <w:rFonts w:hint="eastAsia" w:ascii="仿宋_GB2312" w:hAnsi="仿宋_GB2312" w:eastAsia="仿宋_GB2312" w:cs="仿宋_GB2312"/>
        </w:rPr>
        <w:t>加大企业上市培育和支持力度，推动有潜力、有前景的民营企业发展壮大。</w:t>
      </w:r>
      <w:bookmarkStart w:id="396" w:name="_Toc15172"/>
      <w:bookmarkStart w:id="397" w:name="_Toc5679"/>
    </w:p>
    <w:p w14:paraId="6D87105C">
      <w:pPr>
        <w:pBdr>
          <w:bottom w:val="single" w:color="FFFFFF" w:sz="4" w:space="24"/>
        </w:pBdr>
        <w:overflowPunct w:val="0"/>
        <w:autoSpaceDE w:val="0"/>
        <w:autoSpaceDN w:val="0"/>
        <w:spacing w:line="600" w:lineRule="exact"/>
        <w:rPr>
          <w:rFonts w:hint="eastAsia" w:ascii="仿宋_GB2312" w:hAnsi="仿宋_GB2312" w:eastAsia="仿宋_GB2312" w:cs="仿宋_GB2312"/>
        </w:rPr>
      </w:pPr>
      <w:r>
        <w:rPr>
          <w:rFonts w:hint="eastAsia" w:ascii="仿宋_GB2312" w:hAnsi="仿宋_GB2312" w:eastAsia="仿宋_GB2312" w:cs="仿宋_GB2312"/>
          <w:b/>
          <w:bCs/>
        </w:rPr>
        <w:t>深化助企服务</w:t>
      </w:r>
      <w:bookmarkEnd w:id="396"/>
      <w:bookmarkEnd w:id="397"/>
      <w:r>
        <w:rPr>
          <w:rFonts w:hint="eastAsia" w:ascii="仿宋_GB2312" w:hAnsi="仿宋_GB2312" w:eastAsia="仿宋_GB2312" w:cs="仿宋_GB2312"/>
          <w:b/>
          <w:bCs/>
        </w:rPr>
        <w:t>。</w:t>
      </w:r>
      <w:r>
        <w:rPr>
          <w:rFonts w:hint="eastAsia" w:ascii="仿宋_GB2312" w:hAnsi="仿宋_GB2312" w:eastAsia="仿宋_GB2312" w:cs="仿宋_GB2312"/>
        </w:rPr>
        <w:t>对接长春市中小微企业融资信用服务平台，引导金融机构创新推出个性化金融产品，满足企业发展需求。发挥助企服务员作用，全面激发市场主体活力。</w:t>
      </w:r>
    </w:p>
    <w:bookmarkEnd w:id="240"/>
    <w:p w14:paraId="7DBB620A">
      <w:pP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page"/>
      </w:r>
    </w:p>
    <w:p w14:paraId="17CB944A">
      <w:pPr>
        <w:pStyle w:val="2"/>
        <w:bidi w:val="0"/>
        <w:rPr>
          <w:rFonts w:hint="eastAsia"/>
          <w:color w:val="000000" w:themeColor="text1"/>
          <w14:textFill>
            <w14:solidFill>
              <w14:schemeClr w14:val="tx1"/>
            </w14:solidFill>
          </w14:textFill>
        </w:rPr>
      </w:pPr>
      <w:bookmarkStart w:id="398" w:name="_Toc31632"/>
      <w:r>
        <w:rPr>
          <w:rFonts w:hint="eastAsia"/>
          <w:color w:val="000000" w:themeColor="text1"/>
          <w14:textFill>
            <w14:solidFill>
              <w14:schemeClr w14:val="tx1"/>
            </w14:solidFill>
          </w14:textFill>
        </w:rPr>
        <w:t xml:space="preserve">第七章 </w:t>
      </w:r>
      <w:r>
        <w:rPr>
          <w:rFonts w:hint="eastAsia"/>
          <w:color w:val="000000" w:themeColor="text1"/>
          <w:lang w:val="en-US" w:eastAsia="zh-CN"/>
          <w14:textFill>
            <w14:solidFill>
              <w14:schemeClr w14:val="tx1"/>
            </w14:solidFill>
          </w14:textFill>
        </w:rPr>
        <w:t>统筹</w:t>
      </w:r>
      <w:r>
        <w:rPr>
          <w:rFonts w:hint="eastAsia"/>
          <w:color w:val="000000" w:themeColor="text1"/>
          <w14:textFill>
            <w14:solidFill>
              <w14:schemeClr w14:val="tx1"/>
            </w14:solidFill>
          </w14:textFill>
        </w:rPr>
        <w:t>城市建设与管理，打造现代宜居城区</w:t>
      </w:r>
      <w:bookmarkEnd w:id="398"/>
    </w:p>
    <w:p w14:paraId="5121F935">
      <w:pPr>
        <w:spacing w:line="600" w:lineRule="exact"/>
        <w:ind w:firstLine="640"/>
        <w:rPr>
          <w:rFonts w:hint="eastAsia"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坚持</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人民城市人民建、</w:t>
      </w:r>
      <w:r>
        <w:rPr>
          <w:rFonts w:hint="eastAsia" w:ascii="仿宋_GB2312" w:hAnsi="Times New Roman" w:eastAsia="仿宋_GB2312" w:cs="Times New Roman"/>
          <w:color w:val="000000" w:themeColor="text1"/>
          <w14:textFill>
            <w14:solidFill>
              <w14:schemeClr w14:val="tx1"/>
            </w14:solidFill>
          </w14:textFill>
        </w:rPr>
        <w:t>人民城市为人民</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发展理念</w:t>
      </w:r>
      <w:r>
        <w:rPr>
          <w:rFonts w:hint="eastAsia" w:ascii="仿宋_GB2312" w:hAnsi="Times New Roman" w:eastAsia="仿宋_GB2312"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着力优化现代城市体系</w:t>
      </w:r>
      <w:r>
        <w:rPr>
          <w:rFonts w:hint="eastAsia" w:ascii="仿宋_GB2312" w:hAnsi="Times New Roman" w:eastAsia="仿宋_GB2312"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完善城乡基础设施，实施城市更新行动，推动城市精细化治理</w:t>
      </w:r>
      <w:r>
        <w:rPr>
          <w:rFonts w:hint="eastAsia" w:ascii="仿宋_GB2312" w:hAnsi="Times New Roman" w:eastAsia="仿宋_GB2312" w:cs="Times New Roman"/>
          <w:color w:val="000000" w:themeColor="text1"/>
          <w14:textFill>
            <w14:solidFill>
              <w14:schemeClr w14:val="tx1"/>
            </w14:solidFill>
          </w14:textFill>
        </w:rPr>
        <w:t>，不断提升城市品质。</w:t>
      </w:r>
    </w:p>
    <w:p w14:paraId="027F6786">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ind w:firstLine="0" w:firstLineChars="0"/>
        <w:textAlignment w:val="baseline"/>
        <w:outlineLvl w:val="1"/>
        <w:rPr>
          <w:rFonts w:hint="default"/>
          <w:color w:val="000000" w:themeColor="text1"/>
          <w:lang w:val="en-US"/>
          <w14:textFill>
            <w14:solidFill>
              <w14:schemeClr w14:val="tx1"/>
            </w14:solidFill>
          </w14:textFill>
        </w:rPr>
      </w:pPr>
      <w:bookmarkStart w:id="399" w:name="_Toc5191"/>
      <w:bookmarkStart w:id="400" w:name="_Toc31119"/>
      <w:r>
        <w:rPr>
          <w:rFonts w:hint="eastAsia"/>
          <w:color w:val="000000" w:themeColor="text1"/>
          <w14:textFill>
            <w14:solidFill>
              <w14:schemeClr w14:val="tx1"/>
            </w14:solidFill>
          </w14:textFill>
        </w:rPr>
        <w:t>第一节 高标准推进城市</w:t>
      </w:r>
      <w:r>
        <w:rPr>
          <w:rFonts w:hint="eastAsia"/>
          <w:color w:val="000000" w:themeColor="text1"/>
          <w:lang w:val="en-US" w:eastAsia="zh-CN"/>
          <w14:textFill>
            <w14:solidFill>
              <w14:schemeClr w14:val="tx1"/>
            </w14:solidFill>
          </w14:textFill>
        </w:rPr>
        <w:t>基础设施</w:t>
      </w:r>
      <w:bookmarkEnd w:id="399"/>
      <w:r>
        <w:rPr>
          <w:rFonts w:hint="eastAsia"/>
          <w:color w:val="000000" w:themeColor="text1"/>
          <w:lang w:val="en-US" w:eastAsia="zh-CN"/>
          <w14:textFill>
            <w14:solidFill>
              <w14:schemeClr w14:val="tx1"/>
            </w14:solidFill>
          </w14:textFill>
        </w:rPr>
        <w:t>建设</w:t>
      </w:r>
      <w:bookmarkEnd w:id="400"/>
    </w:p>
    <w:p w14:paraId="15FCBAD3">
      <w:pPr>
        <w:bidi w:val="0"/>
        <w:rPr>
          <w:rFonts w:hint="eastAsia"/>
          <w:lang w:val="en-US" w:eastAsia="zh-CN"/>
        </w:rPr>
      </w:pPr>
      <w:r>
        <w:rPr>
          <w:rFonts w:hint="eastAsia"/>
          <w:b/>
          <w:bCs/>
          <w:lang w:val="en-US" w:eastAsia="zh-CN"/>
        </w:rPr>
        <w:t>构建高效的路网体系。</w:t>
      </w:r>
      <w:r>
        <w:rPr>
          <w:rFonts w:hint="eastAsia"/>
          <w:lang w:val="en-US" w:eastAsia="zh-CN"/>
        </w:rPr>
        <w:t>加快打通</w:t>
      </w:r>
      <w:r>
        <w:rPr>
          <w:rFonts w:hint="eastAsia"/>
        </w:rPr>
        <w:t>宽府路等</w:t>
      </w:r>
      <w:r>
        <w:rPr>
          <w:rFonts w:hint="eastAsia"/>
          <w:lang w:val="en-US" w:eastAsia="zh-CN"/>
        </w:rPr>
        <w:t>断头路、卡脖路。完善智慧交通信号系统，构建“快慢结合、客货分流”的立体化路网体系。</w:t>
      </w:r>
    </w:p>
    <w:p w14:paraId="743FA3D7">
      <w:pPr>
        <w:bidi w:val="0"/>
        <w:rPr>
          <w:rFonts w:hint="eastAsia"/>
        </w:rPr>
      </w:pPr>
      <w:r>
        <w:rPr>
          <w:rFonts w:hint="eastAsia"/>
          <w:b/>
          <w:bCs/>
          <w:lang w:val="en-US" w:eastAsia="zh-CN"/>
        </w:rPr>
        <w:t>提高</w:t>
      </w:r>
      <w:r>
        <w:rPr>
          <w:rFonts w:hint="eastAsia"/>
          <w:b/>
          <w:bCs/>
        </w:rPr>
        <w:t>生活</w:t>
      </w:r>
      <w:r>
        <w:rPr>
          <w:rFonts w:hint="eastAsia"/>
          <w:b/>
          <w:bCs/>
          <w:lang w:val="en-US" w:eastAsia="zh-CN"/>
        </w:rPr>
        <w:t>设施配套</w:t>
      </w:r>
      <w:r>
        <w:rPr>
          <w:rFonts w:hint="eastAsia"/>
          <w:b/>
          <w:bCs/>
        </w:rPr>
        <w:t>。</w:t>
      </w:r>
      <w:r>
        <w:rPr>
          <w:rFonts w:hint="eastAsia"/>
        </w:rPr>
        <w:t>对</w:t>
      </w:r>
      <w:r>
        <w:rPr>
          <w:rFonts w:hint="eastAsia"/>
          <w:lang w:val="en-US" w:eastAsia="zh-CN"/>
        </w:rPr>
        <w:t>老旧小区</w:t>
      </w:r>
      <w:r>
        <w:rPr>
          <w:rFonts w:hint="eastAsia"/>
        </w:rPr>
        <w:t>雨水管线、污水管线实施专项改造，推动供热管网</w:t>
      </w:r>
      <w:r>
        <w:rPr>
          <w:rFonts w:hint="eastAsia"/>
          <w:lang w:val="en-US" w:eastAsia="zh-CN"/>
        </w:rPr>
        <w:t>改造</w:t>
      </w:r>
      <w:r>
        <w:rPr>
          <w:rFonts w:hint="eastAsia"/>
        </w:rPr>
        <w:t>升级</w:t>
      </w:r>
      <w:r>
        <w:rPr>
          <w:rFonts w:hint="eastAsia"/>
          <w:lang w:eastAsia="zh-CN"/>
        </w:rPr>
        <w:t>，</w:t>
      </w:r>
      <w:r>
        <w:rPr>
          <w:rFonts w:hint="eastAsia"/>
          <w:lang w:val="en-US" w:eastAsia="zh-CN"/>
        </w:rPr>
        <w:t>推动架空供热管线</w:t>
      </w:r>
      <w:r>
        <w:rPr>
          <w:rFonts w:hint="eastAsia"/>
        </w:rPr>
        <w:t>入地改造。</w:t>
      </w:r>
    </w:p>
    <w:p w14:paraId="3A8E8BF5">
      <w:pPr>
        <w:bidi w:val="0"/>
        <w:rPr>
          <w:rFonts w:hint="eastAsia"/>
          <w:lang w:val="en-US" w:eastAsia="zh-CN"/>
        </w:rPr>
      </w:pPr>
      <w:r>
        <w:rPr>
          <w:rFonts w:hint="eastAsia"/>
          <w:b/>
          <w:bCs/>
          <w:lang w:val="en-US" w:eastAsia="zh-CN"/>
        </w:rPr>
        <w:t>统筹推进新基建行动。</w:t>
      </w:r>
      <w:r>
        <w:rPr>
          <w:rFonts w:hint="eastAsia"/>
          <w:lang w:val="en-US" w:eastAsia="zh-CN"/>
        </w:rPr>
        <w:t>推进5G网络基站在重点商圈、产业园区及交通枢纽的全覆盖。科学规划新能源汽车充电桩网络，合理布局公用与专用充电设施，服务绿色出行。</w:t>
      </w:r>
    </w:p>
    <w:p w14:paraId="64466403">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ind w:firstLine="0" w:firstLineChars="0"/>
        <w:textAlignment w:val="baseline"/>
        <w:outlineLvl w:val="1"/>
        <w:rPr>
          <w:rFonts w:hint="default" w:eastAsia="楷体"/>
          <w:color w:val="000000" w:themeColor="text1"/>
          <w:lang w:val="en-US" w:eastAsia="zh-CN"/>
          <w14:textFill>
            <w14:solidFill>
              <w14:schemeClr w14:val="tx1"/>
            </w14:solidFill>
          </w14:textFill>
        </w:rPr>
      </w:pPr>
      <w:bookmarkStart w:id="401" w:name="_Toc17880"/>
      <w:bookmarkStart w:id="402" w:name="_Toc11915"/>
      <w:r>
        <w:rPr>
          <w:rFonts w:hint="eastAsia"/>
          <w:color w:val="000000" w:themeColor="text1"/>
          <w14:textFill>
            <w14:solidFill>
              <w14:schemeClr w14:val="tx1"/>
            </w14:solidFill>
          </w14:textFill>
        </w:rPr>
        <w:t xml:space="preserve">第二节 </w:t>
      </w:r>
      <w:bookmarkEnd w:id="401"/>
      <w:r>
        <w:rPr>
          <w:rFonts w:hint="eastAsia"/>
          <w:color w:val="000000" w:themeColor="text1"/>
          <w:lang w:val="en-US" w:eastAsia="zh-CN"/>
          <w14:textFill>
            <w14:solidFill>
              <w14:schemeClr w14:val="tx1"/>
            </w14:solidFill>
          </w14:textFill>
        </w:rPr>
        <w:t>高质量提升城市人居品质</w:t>
      </w:r>
      <w:bookmarkEnd w:id="402"/>
    </w:p>
    <w:p w14:paraId="0ECF931A">
      <w:pPr>
        <w:rPr>
          <w:rFonts w:hint="eastAsia"/>
        </w:rPr>
      </w:pPr>
      <w:r>
        <w:rPr>
          <w:rFonts w:hint="eastAsia"/>
          <w:b/>
          <w:bCs/>
        </w:rPr>
        <w:t>推动老旧小区</w:t>
      </w:r>
      <w:r>
        <w:rPr>
          <w:rFonts w:hint="eastAsia"/>
          <w:b/>
          <w:bCs/>
          <w:lang w:val="en-US" w:eastAsia="zh-CN"/>
        </w:rPr>
        <w:t>改造</w:t>
      </w:r>
      <w:r>
        <w:rPr>
          <w:rFonts w:hint="eastAsia"/>
          <w:b/>
          <w:bCs/>
        </w:rPr>
        <w:t>。</w:t>
      </w:r>
      <w:r>
        <w:rPr>
          <w:rFonts w:hint="eastAsia"/>
          <w:lang w:val="en-US" w:eastAsia="zh-CN"/>
        </w:rPr>
        <w:t>加快</w:t>
      </w:r>
      <w:r>
        <w:rPr>
          <w:rFonts w:hint="eastAsia"/>
        </w:rPr>
        <w:t>对火车站</w:t>
      </w:r>
      <w:r>
        <w:rPr>
          <w:rFonts w:hint="eastAsia"/>
          <w:lang w:val="en-US" w:eastAsia="zh-CN"/>
        </w:rPr>
        <w:t>周边等</w:t>
      </w:r>
      <w:r>
        <w:rPr>
          <w:rFonts w:hint="eastAsia"/>
        </w:rPr>
        <w:t>区域</w:t>
      </w:r>
      <w:r>
        <w:rPr>
          <w:rFonts w:hint="eastAsia"/>
          <w:lang w:val="en-US" w:eastAsia="zh-CN"/>
        </w:rPr>
        <w:t>改造</w:t>
      </w:r>
      <w:r>
        <w:rPr>
          <w:rFonts w:hint="eastAsia"/>
        </w:rPr>
        <w:t>。通过“小修小补”整治</w:t>
      </w:r>
      <w:r>
        <w:rPr>
          <w:rFonts w:hint="eastAsia"/>
          <w:lang w:val="en-US" w:eastAsia="zh-CN"/>
        </w:rPr>
        <w:t>老旧</w:t>
      </w:r>
      <w:r>
        <w:rPr>
          <w:rFonts w:hint="eastAsia"/>
        </w:rPr>
        <w:t>小区及周边环境，完善小区基础设施。</w:t>
      </w:r>
    </w:p>
    <w:p w14:paraId="399B2EA0">
      <w:pPr>
        <w:rPr>
          <w:rFonts w:hint="eastAsia"/>
        </w:rPr>
      </w:pPr>
      <w:r>
        <w:rPr>
          <w:rFonts w:hint="eastAsia"/>
          <w:b/>
          <w:bCs/>
        </w:rPr>
        <w:t>推进城市棚户区改造。</w:t>
      </w:r>
      <w:r>
        <w:rPr>
          <w:rFonts w:hint="eastAsia"/>
          <w:lang w:val="en-US" w:eastAsia="zh-CN"/>
        </w:rPr>
        <w:t>制定差异化改造策略，</w:t>
      </w:r>
      <w:r>
        <w:rPr>
          <w:rFonts w:hint="eastAsia"/>
        </w:rPr>
        <w:t>对人员密度大、改造成本高的重点难点地块，</w:t>
      </w:r>
      <w:r>
        <w:rPr>
          <w:rFonts w:hint="eastAsia"/>
          <w:lang w:val="en-US" w:eastAsia="zh-CN"/>
        </w:rPr>
        <w:t>探索</w:t>
      </w:r>
      <w:r>
        <w:rPr>
          <w:rFonts w:hint="eastAsia"/>
        </w:rPr>
        <w:t>采取“跨区域平衡土地成本”“原拆原建”等方式</w:t>
      </w:r>
      <w:r>
        <w:rPr>
          <w:rFonts w:hint="eastAsia"/>
          <w:lang w:val="en-US" w:eastAsia="zh-CN"/>
        </w:rPr>
        <w:t>推动改造</w:t>
      </w:r>
      <w:r>
        <w:rPr>
          <w:rFonts w:hint="eastAsia"/>
        </w:rPr>
        <w:t>。</w:t>
      </w:r>
    </w:p>
    <w:p w14:paraId="223A33E8">
      <w:pPr>
        <w:rPr>
          <w:rFonts w:hint="eastAsia"/>
        </w:rPr>
      </w:pPr>
      <w:r>
        <w:rPr>
          <w:rFonts w:hint="eastAsia"/>
          <w:b/>
          <w:bCs/>
          <w:lang w:val="en-US" w:eastAsia="zh-CN"/>
        </w:rPr>
        <w:t>创新</w:t>
      </w:r>
      <w:r>
        <w:rPr>
          <w:rFonts w:hint="eastAsia"/>
          <w:b/>
          <w:bCs/>
        </w:rPr>
        <w:t>物业</w:t>
      </w:r>
      <w:r>
        <w:rPr>
          <w:rFonts w:hint="eastAsia"/>
          <w:b/>
          <w:bCs/>
          <w:lang w:val="en-US" w:eastAsia="zh-CN"/>
        </w:rPr>
        <w:t>管理模式</w:t>
      </w:r>
      <w:r>
        <w:rPr>
          <w:rFonts w:hint="eastAsia"/>
          <w:b/>
          <w:bCs/>
          <w:lang w:eastAsia="zh-CN"/>
        </w:rPr>
        <w:t>。</w:t>
      </w:r>
      <w:r>
        <w:rPr>
          <w:rFonts w:hint="eastAsia"/>
          <w:lang w:val="en-US" w:eastAsia="zh-CN"/>
        </w:rPr>
        <w:t>着眼解决</w:t>
      </w:r>
      <w:r>
        <w:rPr>
          <w:rFonts w:hint="eastAsia"/>
        </w:rPr>
        <w:t>代管小区</w:t>
      </w:r>
      <w:r>
        <w:rPr>
          <w:rFonts w:hint="eastAsia"/>
          <w:lang w:eastAsia="zh-CN"/>
        </w:rPr>
        <w:t>、</w:t>
      </w:r>
      <w:r>
        <w:rPr>
          <w:rFonts w:hint="eastAsia"/>
          <w:lang w:val="en-US" w:eastAsia="zh-CN"/>
        </w:rPr>
        <w:t>弃管小区等物业管理难题，</w:t>
      </w:r>
      <w:r>
        <w:rPr>
          <w:rFonts w:hint="eastAsia"/>
        </w:rPr>
        <w:t>引进规模化、专业化物业公司</w:t>
      </w:r>
      <w:r>
        <w:rPr>
          <w:rFonts w:hint="eastAsia"/>
          <w:lang w:eastAsia="zh-CN"/>
        </w:rPr>
        <w:t>，</w:t>
      </w:r>
      <w:r>
        <w:rPr>
          <w:rFonts w:hint="eastAsia"/>
        </w:rPr>
        <w:t>推动代管小区向专业物业管理转型</w:t>
      </w:r>
      <w:r>
        <w:rPr>
          <w:rFonts w:hint="eastAsia"/>
          <w:lang w:eastAsia="zh-CN"/>
        </w:rPr>
        <w:t>。</w:t>
      </w:r>
    </w:p>
    <w:p w14:paraId="6B3E8DEB">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ind w:firstLine="0" w:firstLineChars="0"/>
        <w:jc w:val="center"/>
        <w:textAlignment w:val="baseline"/>
        <w:outlineLvl w:val="1"/>
        <w:rPr>
          <w:rFonts w:hint="eastAsia"/>
          <w:color w:val="000000" w:themeColor="text1"/>
          <w14:textFill>
            <w14:solidFill>
              <w14:schemeClr w14:val="tx1"/>
            </w14:solidFill>
          </w14:textFill>
        </w:rPr>
      </w:pPr>
      <w:bookmarkStart w:id="403" w:name="_Toc4599"/>
      <w:bookmarkStart w:id="404" w:name="_Toc10530"/>
      <w:r>
        <w:rPr>
          <w:rFonts w:hint="eastAsia"/>
          <w:color w:val="000000" w:themeColor="text1"/>
          <w14:textFill>
            <w14:solidFill>
              <w14:schemeClr w14:val="tx1"/>
            </w14:solidFill>
          </w14:textFill>
        </w:rPr>
        <w:t>第三节 精细化推进城市治理</w:t>
      </w:r>
      <w:bookmarkEnd w:id="403"/>
      <w:bookmarkEnd w:id="404"/>
    </w:p>
    <w:p w14:paraId="6A82BF00">
      <w:pPr>
        <w:spacing w:line="600" w:lineRule="exact"/>
        <w:rPr>
          <w:rFonts w:hint="eastAsia" w:ascii="仿宋_GB2312" w:eastAsia="仿宋_GB2312"/>
        </w:rPr>
      </w:pPr>
      <w:r>
        <w:rPr>
          <w:rFonts w:hint="eastAsia" w:ascii="仿宋_GB2312" w:eastAsia="仿宋_GB2312"/>
          <w:b/>
          <w:bCs/>
        </w:rPr>
        <w:t>提升交通管理水平。</w:t>
      </w:r>
      <w:r>
        <w:rPr>
          <w:rFonts w:hint="eastAsia" w:ascii="仿宋_GB2312" w:eastAsia="仿宋_GB2312"/>
        </w:rPr>
        <w:t>充分利用空场、空地、空院，规划设置公共停车场地</w:t>
      </w:r>
      <w:r>
        <w:rPr>
          <w:rFonts w:hint="eastAsia"/>
          <w:lang w:eastAsia="zh-CN"/>
        </w:rPr>
        <w:t>。</w:t>
      </w:r>
      <w:r>
        <w:rPr>
          <w:rFonts w:hint="eastAsia" w:ascii="仿宋_GB2312" w:eastAsia="仿宋_GB2312"/>
        </w:rPr>
        <w:t>持续做好恶劣天气下拥堵路段和热点时段的应急疏导管控，努力改善城市交通状况。</w:t>
      </w:r>
    </w:p>
    <w:p w14:paraId="3A5F421C">
      <w:pPr>
        <w:spacing w:line="600" w:lineRule="exact"/>
        <w:rPr>
          <w:rFonts w:hint="eastAsia" w:ascii="仿宋_GB2312" w:hAnsi="仿宋_GB2312" w:eastAsia="仿宋_GB2312" w:cs="仿宋_GB2312"/>
          <w:sz w:val="32"/>
          <w:szCs w:val="32"/>
          <w:lang w:val="en-US" w:eastAsia="zh-CN"/>
        </w:rPr>
      </w:pPr>
      <w:r>
        <w:rPr>
          <w:rFonts w:hint="eastAsia"/>
          <w:b/>
          <w:bCs/>
          <w:lang w:val="en-US" w:eastAsia="zh-CN"/>
        </w:rPr>
        <w:t>打造干净整洁城市环境</w:t>
      </w:r>
      <w:r>
        <w:rPr>
          <w:rFonts w:hint="eastAsia" w:ascii="仿宋_GB2312" w:eastAsia="仿宋_GB2312"/>
          <w:b/>
          <w:bCs/>
        </w:rPr>
        <w:t>。</w:t>
      </w:r>
      <w:r>
        <w:rPr>
          <w:rFonts w:hint="eastAsia" w:ascii="仿宋_GB2312" w:hAnsi="仿宋_GB2312" w:eastAsia="仿宋_GB2312" w:cs="仿宋_GB2312"/>
          <w:sz w:val="32"/>
          <w:szCs w:val="32"/>
          <w:lang w:val="en-US" w:eastAsia="zh-CN"/>
        </w:rPr>
        <w:t>强化垃圾收转运管理，健全与沿街商家、居民小区、单位庭院责任对接机制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确保生活垃圾随产随清。</w:t>
      </w:r>
    </w:p>
    <w:p w14:paraId="612D0449">
      <w:pPr>
        <w:spacing w:line="600" w:lineRule="exact"/>
        <w:rPr>
          <w:rFonts w:hint="eastAsia"/>
          <w:color w:val="000000" w:themeColor="text1"/>
          <w14:textFill>
            <w14:solidFill>
              <w14:schemeClr w14:val="tx1"/>
            </w14:solidFill>
          </w14:textFill>
        </w:rPr>
      </w:pPr>
      <w:r>
        <w:rPr>
          <w:rFonts w:hint="eastAsia" w:ascii="仿宋_GB2312" w:eastAsia="仿宋_GB2312"/>
          <w:b/>
          <w:bCs/>
        </w:rPr>
        <w:t>强化市容乱象治理。</w:t>
      </w:r>
      <w:r>
        <w:rPr>
          <w:rFonts w:hint="eastAsia" w:ascii="仿宋_GB2312" w:eastAsia="仿宋_GB2312"/>
        </w:rPr>
        <w:t>以火车站、客运站、商圈和校园周边为重点，持续开展户外广告、占道经营、静态交通等专项整治行动</w:t>
      </w:r>
      <w:r>
        <w:rPr>
          <w:rFonts w:hint="eastAsia"/>
          <w:lang w:eastAsia="zh-CN"/>
        </w:rPr>
        <w:t>。</w:t>
      </w:r>
    </w:p>
    <w:p w14:paraId="7857ED67">
      <w:pPr>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405" w:name="_Toc250667561"/>
      <w:bookmarkStart w:id="406" w:name="_Toc1426"/>
      <w:bookmarkStart w:id="407" w:name="_Toc49615814"/>
      <w:bookmarkStart w:id="408" w:name="_Toc1955512392"/>
      <w:bookmarkStart w:id="409" w:name="_Toc1285141065"/>
      <w:bookmarkStart w:id="410" w:name="_Toc17292"/>
      <w:bookmarkStart w:id="411" w:name="_Toc475355087"/>
      <w:bookmarkStart w:id="412" w:name="_Toc869403036"/>
      <w:bookmarkStart w:id="413" w:name="_Toc26624"/>
      <w:bookmarkStart w:id="414" w:name="_Toc25377"/>
      <w:bookmarkStart w:id="415" w:name="_Toc1262644694"/>
      <w:bookmarkStart w:id="416" w:name="_Toc322092452"/>
      <w:bookmarkStart w:id="417" w:name="_Toc30580057"/>
      <w:bookmarkStart w:id="418" w:name="_Toc616424009"/>
      <w:bookmarkStart w:id="419" w:name="_Toc1950649052"/>
      <w:bookmarkStart w:id="420" w:name="_Toc1317738375"/>
      <w:bookmarkStart w:id="421" w:name="_Toc1583436287"/>
    </w:p>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12290B96">
      <w:pPr>
        <w:pStyle w:val="2"/>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textAlignment w:val="auto"/>
        <w:rPr>
          <w:color w:val="000000" w:themeColor="text1"/>
          <w14:textFill>
            <w14:solidFill>
              <w14:schemeClr w14:val="tx1"/>
            </w14:solidFill>
          </w14:textFill>
        </w:rPr>
      </w:pPr>
      <w:bookmarkStart w:id="422" w:name="_Toc14699"/>
      <w:bookmarkStart w:id="423" w:name="_Toc17241"/>
      <w:r>
        <w:rPr>
          <w:rFonts w:hint="eastAsia"/>
          <w:color w:val="000000" w:themeColor="text1"/>
          <w14:textFill>
            <w14:solidFill>
              <w14:schemeClr w14:val="tx1"/>
            </w14:solidFill>
          </w14:textFill>
        </w:rPr>
        <w:t xml:space="preserve">第八章 </w:t>
      </w:r>
      <w:r>
        <w:rPr>
          <w:rFonts w:hint="eastAsia"/>
          <w:color w:val="000000" w:themeColor="text1"/>
          <w:lang w:val="en-US" w:eastAsia="zh-CN"/>
          <w14:textFill>
            <w14:solidFill>
              <w14:schemeClr w14:val="tx1"/>
            </w14:solidFill>
          </w14:textFill>
        </w:rPr>
        <w:t>加快</w:t>
      </w:r>
      <w:r>
        <w:rPr>
          <w:rFonts w:hint="eastAsia"/>
          <w:color w:val="000000" w:themeColor="text1"/>
          <w14:textFill>
            <w14:solidFill>
              <w14:schemeClr w14:val="tx1"/>
            </w14:solidFill>
          </w14:textFill>
        </w:rPr>
        <w:t>乡村全面振兴，推动城乡融合发展</w:t>
      </w:r>
      <w:bookmarkEnd w:id="422"/>
      <w:bookmarkEnd w:id="423"/>
    </w:p>
    <w:p w14:paraId="45F3117F">
      <w:pPr>
        <w:spacing w:line="600" w:lineRule="exact"/>
        <w:ind w:firstLine="640"/>
        <w:rPr>
          <w:rFonts w:hint="eastAsia" w:ascii="仿宋_GB2312" w:hAnsi="仿宋_GB2312" w:eastAsia="仿宋_GB2312" w:cs="仿宋_GB2312"/>
          <w:color w:val="000000" w:themeColor="text1"/>
          <w14:textFill>
            <w14:solidFill>
              <w14:schemeClr w14:val="tx1"/>
            </w14:solidFill>
          </w14:textFill>
        </w:rPr>
      </w:pPr>
      <w:r>
        <w:rPr>
          <w:rFonts w:hint="eastAsia" w:hAnsi="仿宋_GB2312" w:cs="仿宋_GB2312"/>
          <w:color w:val="000000" w:themeColor="text1"/>
          <w:lang w:val="en-US" w:eastAsia="zh-CN"/>
          <w14:textFill>
            <w14:solidFill>
              <w14:schemeClr w14:val="tx1"/>
            </w14:solidFill>
          </w14:textFill>
        </w:rPr>
        <w:t>深入实施乡村振兴战略，加快发展现代农业，推进新型城镇化建设，持续提高农民收入水平</w:t>
      </w:r>
      <w:r>
        <w:rPr>
          <w:rFonts w:hint="eastAsia" w:ascii="仿宋_GB2312" w:hAnsi="仿宋_GB2312" w:eastAsia="仿宋_GB2312" w:cs="仿宋_GB2312"/>
          <w:color w:val="000000" w:themeColor="text1"/>
          <w14:textFill>
            <w14:solidFill>
              <w14:schemeClr w14:val="tx1"/>
            </w14:solidFill>
          </w14:textFill>
        </w:rPr>
        <w:t>，</w:t>
      </w:r>
      <w:r>
        <w:rPr>
          <w:rFonts w:hint="eastAsia" w:hAnsi="仿宋_GB2312" w:cs="仿宋_GB2312"/>
          <w:color w:val="000000" w:themeColor="text1"/>
          <w:lang w:val="en-US" w:eastAsia="zh-CN"/>
          <w14:textFill>
            <w14:solidFill>
              <w14:schemeClr w14:val="tx1"/>
            </w14:solidFill>
          </w14:textFill>
        </w:rPr>
        <w:t>促进城乡一体化发展。</w:t>
      </w:r>
    </w:p>
    <w:p w14:paraId="08EBD84D">
      <w:pPr>
        <w:pStyle w:val="3"/>
        <w:spacing w:before="156" w:after="156" w:line="600" w:lineRule="exact"/>
        <w:ind w:firstLine="0" w:firstLineChars="0"/>
        <w:outlineLvl w:val="1"/>
        <w:rPr>
          <w:rFonts w:hint="default" w:eastAsia="楷体"/>
          <w:color w:val="000000" w:themeColor="text1"/>
          <w:lang w:val="en-US" w:eastAsia="zh-CN"/>
          <w14:textFill>
            <w14:solidFill>
              <w14:schemeClr w14:val="tx1"/>
            </w14:solidFill>
          </w14:textFill>
        </w:rPr>
      </w:pPr>
      <w:bookmarkStart w:id="424" w:name="_Toc25174"/>
      <w:bookmarkStart w:id="425" w:name="_Toc1380"/>
      <w:r>
        <w:rPr>
          <w:rFonts w:hint="eastAsia"/>
          <w:color w:val="000000" w:themeColor="text1"/>
          <w14:textFill>
            <w14:solidFill>
              <w14:schemeClr w14:val="tx1"/>
            </w14:solidFill>
          </w14:textFill>
        </w:rPr>
        <w:t xml:space="preserve">第一节 </w:t>
      </w:r>
      <w:r>
        <w:rPr>
          <w:rFonts w:hint="eastAsia"/>
          <w:color w:val="000000" w:themeColor="text1"/>
          <w:lang w:val="en-US" w:eastAsia="zh-CN"/>
          <w14:textFill>
            <w14:solidFill>
              <w14:schemeClr w14:val="tx1"/>
            </w14:solidFill>
          </w14:textFill>
        </w:rPr>
        <w:t>提高农业现代化水平</w:t>
      </w:r>
      <w:bookmarkEnd w:id="424"/>
      <w:bookmarkEnd w:id="425"/>
    </w:p>
    <w:p w14:paraId="1E08C8E4">
      <w:pPr>
        <w:spacing w:line="600" w:lineRule="exact"/>
        <w:rPr>
          <w:rFonts w:hint="eastAsia" w:ascii="仿宋_GB2312" w:eastAsia="仿宋_GB2312"/>
        </w:rPr>
      </w:pPr>
      <w:r>
        <w:rPr>
          <w:rFonts w:hint="eastAsia"/>
          <w:b/>
          <w:bCs/>
          <w:lang w:val="en-US" w:eastAsia="zh-CN"/>
        </w:rPr>
        <w:t>持续抓好粮食生产。</w:t>
      </w:r>
      <w:r>
        <w:rPr>
          <w:rFonts w:hint="eastAsia" w:ascii="仿宋_GB2312" w:eastAsia="仿宋_GB2312"/>
        </w:rPr>
        <w:t>守牢耕地保护红线，</w:t>
      </w:r>
      <w:r>
        <w:rPr>
          <w:rFonts w:hint="eastAsia" w:ascii="仿宋_GB2312" w:hAnsi="仿宋_GB2312" w:eastAsia="仿宋_GB2312" w:cs="仿宋_GB2312"/>
          <w:sz w:val="32"/>
          <w:szCs w:val="32"/>
          <w:lang w:eastAsia="zh-CN"/>
        </w:rPr>
        <w:t>推广测土配方施肥、秸秆还田等节本增效技术，加强防灾减损，保障种粮收益</w:t>
      </w:r>
      <w:r>
        <w:rPr>
          <w:rFonts w:hint="eastAsia" w:ascii="仿宋_GB2312" w:eastAsia="仿宋_GB2312"/>
        </w:rPr>
        <w:t>。</w:t>
      </w:r>
    </w:p>
    <w:p w14:paraId="7121A390">
      <w:pPr>
        <w:spacing w:line="600" w:lineRule="exact"/>
        <w:rPr>
          <w:rFonts w:hint="eastAsia" w:ascii="仿宋_GB2312" w:eastAsia="仿宋_GB2312"/>
        </w:rPr>
      </w:pPr>
      <w:r>
        <w:rPr>
          <w:rFonts w:hint="eastAsia" w:ascii="仿宋_GB2312" w:eastAsia="仿宋_GB2312"/>
          <w:b/>
          <w:bCs/>
        </w:rPr>
        <w:t>大力培育农副产品品牌。</w:t>
      </w:r>
      <w:r>
        <w:rPr>
          <w:rFonts w:hint="eastAsia" w:ascii="仿宋_GB2312"/>
          <w:b w:val="0"/>
          <w:bCs w:val="0"/>
          <w:lang w:val="en-US" w:eastAsia="zh-CN"/>
        </w:rPr>
        <w:t>持续</w:t>
      </w:r>
      <w:r>
        <w:rPr>
          <w:rFonts w:hint="eastAsia" w:ascii="仿宋_GB2312" w:eastAsia="仿宋_GB2312"/>
        </w:rPr>
        <w:t>打造</w:t>
      </w:r>
      <w:r>
        <w:rPr>
          <w:rFonts w:hint="eastAsia"/>
          <w:lang w:val="en-US" w:eastAsia="zh-CN"/>
        </w:rPr>
        <w:t>本地</w:t>
      </w:r>
      <w:r>
        <w:rPr>
          <w:rFonts w:hint="eastAsia" w:ascii="仿宋_GB2312" w:eastAsia="仿宋_GB2312"/>
        </w:rPr>
        <w:t>无公害农产品品牌，依托互联网平台</w:t>
      </w:r>
      <w:r>
        <w:rPr>
          <w:rFonts w:hint="eastAsia"/>
          <w:lang w:eastAsia="zh-CN"/>
        </w:rPr>
        <w:t>，</w:t>
      </w:r>
      <w:r>
        <w:rPr>
          <w:rFonts w:hint="eastAsia" w:ascii="仿宋_GB2312" w:eastAsia="仿宋_GB2312"/>
        </w:rPr>
        <w:t>加快发展电商等新业态，不断提高农副产品品牌知名度和市场竞争力。</w:t>
      </w:r>
    </w:p>
    <w:p w14:paraId="467D137A">
      <w:pPr>
        <w:spacing w:line="600" w:lineRule="exact"/>
        <w:rPr>
          <w:rFonts w:hint="eastAsia" w:ascii="仿宋_GB2312" w:eastAsia="仿宋_GB2312"/>
        </w:rPr>
      </w:pPr>
      <w:r>
        <w:rPr>
          <w:rFonts w:hint="eastAsia" w:ascii="仿宋_GB2312" w:eastAsia="仿宋_GB2312"/>
          <w:b/>
          <w:bCs/>
        </w:rPr>
        <w:t>加快农业绿色化科技化进程。</w:t>
      </w:r>
      <w:r>
        <w:rPr>
          <w:rFonts w:hint="eastAsia" w:ascii="仿宋_GB2312" w:eastAsia="仿宋_GB2312"/>
        </w:rPr>
        <w:t>引导村集体经济组织或专业合作社与高校合作，提升现代农业科技推广覆盖面。引导生产主体和种粮大户减少化肥、农药使用量，确保百姓</w:t>
      </w:r>
      <w:r>
        <w:rPr>
          <w:rFonts w:hint="eastAsia"/>
          <w:lang w:eastAsia="zh-CN"/>
        </w:rPr>
        <w:t>“</w:t>
      </w:r>
      <w:r>
        <w:rPr>
          <w:rFonts w:hint="eastAsia" w:ascii="仿宋_GB2312" w:eastAsia="仿宋_GB2312"/>
        </w:rPr>
        <w:t>舌尖上的安全”。</w:t>
      </w:r>
    </w:p>
    <w:p w14:paraId="23222705">
      <w:pPr>
        <w:spacing w:line="600" w:lineRule="exact"/>
        <w:rPr>
          <w:rFonts w:hint="eastAsia" w:ascii="仿宋_GB2312" w:eastAsia="仿宋_GB2312"/>
          <w:color w:val="000000" w:themeColor="text1"/>
          <w14:textFill>
            <w14:solidFill>
              <w14:schemeClr w14:val="tx1"/>
            </w14:solidFill>
          </w14:textFill>
        </w:rPr>
      </w:pPr>
      <w:r>
        <w:rPr>
          <w:rFonts w:hint="eastAsia" w:ascii="仿宋_GB2312" w:eastAsia="仿宋_GB2312"/>
          <w:b/>
          <w:bCs/>
        </w:rPr>
        <w:t>大力实施休闲观光农业。</w:t>
      </w:r>
      <w:r>
        <w:rPr>
          <w:rFonts w:hint="eastAsia"/>
          <w:lang w:val="en-US" w:eastAsia="zh-CN"/>
        </w:rPr>
        <w:t>依托重点企业</w:t>
      </w:r>
      <w:r>
        <w:rPr>
          <w:rFonts w:hint="eastAsia" w:ascii="仿宋_GB2312" w:eastAsia="仿宋_GB2312"/>
        </w:rPr>
        <w:t>发展观光采摘、研学基地、</w:t>
      </w:r>
      <w:r>
        <w:rPr>
          <w:rFonts w:hint="eastAsia"/>
          <w:lang w:val="en-US" w:eastAsia="zh-CN"/>
        </w:rPr>
        <w:t>时令</w:t>
      </w:r>
      <w:r>
        <w:rPr>
          <w:rFonts w:hint="eastAsia" w:ascii="仿宋_GB2312" w:eastAsia="仿宋_GB2312"/>
        </w:rPr>
        <w:t>餐饮等乡村旅游</w:t>
      </w:r>
      <w:r>
        <w:rPr>
          <w:rFonts w:hint="eastAsia"/>
          <w:lang w:val="en-US" w:eastAsia="zh-CN"/>
        </w:rPr>
        <w:t>经济。</w:t>
      </w:r>
      <w:r>
        <w:rPr>
          <w:rFonts w:hint="eastAsia" w:ascii="仿宋_GB2312" w:eastAsia="仿宋_GB2312"/>
        </w:rPr>
        <w:t>发展滨水稻田景观等有机融合的观光农业，打造滨水生态休闲区，全面赋能乡村振兴与产业升级</w:t>
      </w:r>
      <w:r>
        <w:rPr>
          <w:rFonts w:hint="eastAsia" w:ascii="仿宋_GB2312" w:eastAsia="仿宋_GB2312"/>
          <w:color w:val="000000" w:themeColor="text1"/>
          <w14:textFill>
            <w14:solidFill>
              <w14:schemeClr w14:val="tx1"/>
            </w14:solidFill>
          </w14:textFill>
        </w:rPr>
        <w:t>。</w:t>
      </w:r>
    </w:p>
    <w:p w14:paraId="1D888BB1">
      <w:pPr>
        <w:pStyle w:val="3"/>
        <w:spacing w:before="156" w:after="156" w:line="600" w:lineRule="exact"/>
        <w:ind w:firstLine="0" w:firstLineChars="0"/>
        <w:outlineLvl w:val="1"/>
        <w:rPr>
          <w:rFonts w:hint="eastAsia" w:eastAsia="楷体"/>
          <w:color w:val="000000" w:themeColor="text1"/>
          <w:lang w:eastAsia="zh-CN"/>
          <w14:textFill>
            <w14:solidFill>
              <w14:schemeClr w14:val="tx1"/>
            </w14:solidFill>
          </w14:textFill>
        </w:rPr>
      </w:pPr>
      <w:bookmarkStart w:id="426" w:name="_Toc13916"/>
      <w:bookmarkStart w:id="427" w:name="_Toc3185"/>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节 扎实推</w:t>
      </w:r>
      <w:r>
        <w:rPr>
          <w:rFonts w:hint="eastAsia"/>
          <w:color w:val="000000" w:themeColor="text1"/>
          <w:lang w:val="en-US" w:eastAsia="zh-CN"/>
          <w14:textFill>
            <w14:solidFill>
              <w14:schemeClr w14:val="tx1"/>
            </w14:solidFill>
          </w14:textFill>
        </w:rPr>
        <w:t>进</w:t>
      </w:r>
      <w:r>
        <w:rPr>
          <w:rFonts w:hint="eastAsia"/>
          <w:color w:val="000000" w:themeColor="text1"/>
          <w14:textFill>
            <w14:solidFill>
              <w14:schemeClr w14:val="tx1"/>
            </w14:solidFill>
          </w14:textFill>
        </w:rPr>
        <w:t>“美丽乡村”建设</w:t>
      </w:r>
      <w:bookmarkEnd w:id="426"/>
      <w:bookmarkEnd w:id="427"/>
    </w:p>
    <w:p w14:paraId="5524D3D3">
      <w:pPr>
        <w:spacing w:line="600" w:lineRule="exact"/>
        <w:rPr>
          <w:rFonts w:hint="eastAsia" w:hAnsi="Times New Roman" w:cs="Times New Roman"/>
          <w:b w:val="0"/>
          <w:bCs w:val="0"/>
          <w:color w:val="000000"/>
          <w:lang w:val="en-US" w:eastAsia="zh-CN"/>
        </w:rPr>
      </w:pPr>
      <w:bookmarkStart w:id="428" w:name="_Toc4379"/>
      <w:r>
        <w:rPr>
          <w:rFonts w:hint="eastAsia" w:hAnsi="Times New Roman" w:cs="Times New Roman"/>
          <w:b/>
          <w:bCs/>
          <w:color w:val="000000"/>
          <w:lang w:val="en-US" w:eastAsia="zh-CN"/>
        </w:rPr>
        <w:t>提升村庄规划建设水平。</w:t>
      </w:r>
      <w:r>
        <w:rPr>
          <w:rFonts w:hint="eastAsia" w:hAnsi="Times New Roman" w:cs="Times New Roman"/>
          <w:b w:val="0"/>
          <w:bCs w:val="0"/>
          <w:color w:val="000000"/>
          <w:lang w:val="en-US" w:eastAsia="zh-CN"/>
        </w:rPr>
        <w:t>以国土空间总体规划为</w:t>
      </w:r>
      <w:r>
        <w:rPr>
          <w:rFonts w:hint="eastAsia" w:cs="Times New Roman"/>
          <w:b w:val="0"/>
          <w:bCs w:val="0"/>
          <w:color w:val="000000"/>
          <w:lang w:val="en-US" w:eastAsia="zh-CN"/>
        </w:rPr>
        <w:t>基础</w:t>
      </w:r>
      <w:r>
        <w:rPr>
          <w:rFonts w:hint="eastAsia" w:hAnsi="Times New Roman" w:cs="Times New Roman"/>
          <w:b w:val="0"/>
          <w:bCs w:val="0"/>
          <w:color w:val="000000"/>
          <w:lang w:val="en-US" w:eastAsia="zh-CN"/>
        </w:rPr>
        <w:t>，统筹划定村庄类型。城镇开发边界内按“城郊融合、统一编制”原则有序推进，城镇开发边界外按“聚集提升、单独编制”要求稳步实施，科学配置空间资源。</w:t>
      </w:r>
    </w:p>
    <w:p w14:paraId="7342CAE5">
      <w:pPr>
        <w:spacing w:line="600" w:lineRule="exact"/>
        <w:rPr>
          <w:rStyle w:val="26"/>
          <w:rFonts w:hint="eastAsia" w:ascii="仿宋_GB2312" w:hAnsi="仿宋_GB2312" w:eastAsia="仿宋_GB2312" w:cs="仿宋_GB2312"/>
          <w:b w:val="0"/>
          <w:bCs/>
          <w:color w:val="000000"/>
          <w:sz w:val="32"/>
          <w:szCs w:val="32"/>
          <w:lang w:val="zh-CN"/>
        </w:rPr>
      </w:pPr>
      <w:r>
        <w:rPr>
          <w:rFonts w:hint="eastAsia"/>
          <w:b/>
          <w:bCs/>
          <w:color w:val="000000"/>
          <w:lang w:val="en-US" w:eastAsia="zh-CN"/>
        </w:rPr>
        <w:t>持续改善村容村貌。</w:t>
      </w:r>
      <w:r>
        <w:rPr>
          <w:rFonts w:hint="eastAsia"/>
          <w:b w:val="0"/>
          <w:bCs w:val="0"/>
          <w:color w:val="000000"/>
          <w:lang w:val="en-US" w:eastAsia="zh-CN"/>
        </w:rPr>
        <w:t>实施人居环境整治提升行动，推动村屯卫生保洁、生活垃圾清理、农业生产废弃物处置。</w:t>
      </w:r>
    </w:p>
    <w:p w14:paraId="3F63A27A">
      <w:pPr>
        <w:spacing w:line="600" w:lineRule="exact"/>
        <w:rPr>
          <w:rStyle w:val="26"/>
          <w:rFonts w:hint="eastAsia" w:hAnsi="仿宋_GB2312" w:cs="仿宋_GB2312"/>
          <w:b w:val="0"/>
          <w:bCs/>
          <w:color w:val="000000"/>
          <w:sz w:val="32"/>
          <w:szCs w:val="32"/>
          <w:lang w:val="en-US" w:eastAsia="zh-CN"/>
        </w:rPr>
      </w:pPr>
      <w:r>
        <w:rPr>
          <w:rStyle w:val="26"/>
          <w:rFonts w:hint="eastAsia" w:ascii="仿宋_GB2312" w:hAnsi="仿宋_GB2312" w:eastAsia="仿宋_GB2312" w:cs="仿宋_GB2312"/>
          <w:b/>
          <w:bCs w:val="0"/>
          <w:color w:val="000000"/>
          <w:sz w:val="32"/>
          <w:szCs w:val="32"/>
          <w:lang w:val="zh-CN"/>
        </w:rPr>
        <w:t>推进乡村治理体系建设</w:t>
      </w:r>
      <w:r>
        <w:rPr>
          <w:rStyle w:val="26"/>
          <w:rFonts w:hint="eastAsia" w:hAnsi="仿宋_GB2312" w:cs="仿宋_GB2312"/>
          <w:b/>
          <w:bCs w:val="0"/>
          <w:color w:val="000000"/>
          <w:sz w:val="32"/>
          <w:szCs w:val="32"/>
          <w:lang w:val="zh-CN"/>
        </w:rPr>
        <w:t>。</w:t>
      </w:r>
      <w:r>
        <w:rPr>
          <w:rStyle w:val="26"/>
          <w:rFonts w:hint="eastAsia" w:ascii="仿宋_GB2312" w:hAnsi="仿宋_GB2312" w:eastAsia="仿宋_GB2312" w:cs="仿宋_GB2312"/>
          <w:b w:val="0"/>
          <w:bCs/>
          <w:color w:val="000000"/>
          <w:sz w:val="32"/>
          <w:szCs w:val="32"/>
          <w:lang w:val="zh-CN"/>
        </w:rPr>
        <w:t>坚持党建引领乡村治理，</w:t>
      </w:r>
      <w:r>
        <w:rPr>
          <w:rStyle w:val="26"/>
          <w:rFonts w:hint="eastAsia" w:ascii="仿宋_GB2312" w:hAnsi="仿宋_GB2312" w:cs="仿宋_GB2312"/>
          <w:b w:val="0"/>
          <w:bCs/>
          <w:color w:val="000000"/>
          <w:sz w:val="32"/>
          <w:szCs w:val="32"/>
          <w:lang w:val="en-US" w:eastAsia="zh-CN"/>
        </w:rPr>
        <w:t>推动</w:t>
      </w:r>
      <w:r>
        <w:rPr>
          <w:rStyle w:val="26"/>
          <w:rFonts w:hint="eastAsia" w:hAnsi="仿宋_GB2312" w:cs="仿宋_GB2312"/>
          <w:b w:val="0"/>
          <w:bCs/>
          <w:color w:val="000000"/>
          <w:sz w:val="32"/>
          <w:szCs w:val="32"/>
          <w:lang w:val="en-US" w:eastAsia="zh-CN"/>
        </w:rPr>
        <w:t>区、镇、村三级治理体系高效运转。</w:t>
      </w:r>
    </w:p>
    <w:p w14:paraId="634A4CC9">
      <w:pPr>
        <w:spacing w:line="600" w:lineRule="exact"/>
        <w:rPr>
          <w:rStyle w:val="26"/>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b/>
          <w:bCs/>
          <w:color w:val="000000" w:themeColor="text1"/>
          <w:lang w:val="en-US" w:eastAsia="zh-CN"/>
          <w14:textFill>
            <w14:solidFill>
              <w14:schemeClr w14:val="tx1"/>
            </w14:solidFill>
          </w14:textFill>
        </w:rPr>
        <w:t>巩固拓展脱贫攻坚成果。</w:t>
      </w:r>
      <w:r>
        <w:rPr>
          <w:rFonts w:hint="eastAsia"/>
          <w:b w:val="0"/>
          <w:bCs w:val="0"/>
          <w:color w:val="000000" w:themeColor="text1"/>
          <w:lang w:val="en-US" w:eastAsia="zh-CN"/>
          <w14:textFill>
            <w14:solidFill>
              <w14:schemeClr w14:val="tx1"/>
            </w14:solidFill>
          </w14:textFill>
        </w:rPr>
        <w:t>常态化监测“两不愁三保障”巩固情况，持续开展农村低收入人口帮扶工作，确保不出现规模性返贫</w:t>
      </w:r>
      <w:r>
        <w:rPr>
          <w:rFonts w:hint="eastAsia" w:ascii="仿宋_GB2312" w:eastAsia="仿宋_GB2312"/>
          <w:b w:val="0"/>
          <w:bCs w:val="0"/>
          <w:color w:val="000000" w:themeColor="text1"/>
          <w14:textFill>
            <w14:solidFill>
              <w14:schemeClr w14:val="tx1"/>
            </w14:solidFill>
          </w14:textFill>
        </w:rPr>
        <w:t>。</w:t>
      </w:r>
    </w:p>
    <w:p w14:paraId="6F480D79">
      <w:pPr>
        <w:pStyle w:val="3"/>
        <w:spacing w:before="156" w:after="156" w:line="600" w:lineRule="exact"/>
        <w:ind w:firstLine="0" w:firstLineChars="0"/>
        <w:outlineLvl w:val="1"/>
        <w:rPr>
          <w:rFonts w:hint="default"/>
          <w:color w:val="000000" w:themeColor="text1"/>
          <w:lang w:val="en-US" w:eastAsia="zh-CN"/>
          <w14:textFill>
            <w14:solidFill>
              <w14:schemeClr w14:val="tx1"/>
            </w14:solidFill>
          </w14:textFill>
        </w:rPr>
      </w:pPr>
      <w:bookmarkStart w:id="429" w:name="_Toc18685"/>
      <w:r>
        <w:rPr>
          <w:rFonts w:hint="eastAsia"/>
          <w:color w:val="000000" w:themeColor="text1"/>
          <w:lang w:val="en-US" w:eastAsia="zh-CN"/>
          <w14:textFill>
            <w14:solidFill>
              <w14:schemeClr w14:val="tx1"/>
            </w14:solidFill>
          </w14:textFill>
        </w:rPr>
        <w:t>第三节 促进农民持续增收</w:t>
      </w:r>
      <w:bookmarkEnd w:id="428"/>
      <w:bookmarkEnd w:id="429"/>
    </w:p>
    <w:p w14:paraId="0B44C5D7">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稳步提升农民工资性收入。</w:t>
      </w:r>
      <w:r>
        <w:rPr>
          <w:rFonts w:hint="eastAsia" w:ascii="仿宋_GB2312" w:hAnsi="仿宋_GB2312" w:eastAsia="仿宋_GB2312" w:cs="仿宋_GB2312"/>
          <w:sz w:val="32"/>
          <w:szCs w:val="32"/>
          <w:lang w:eastAsia="zh-CN"/>
        </w:rPr>
        <w:t>依托“春风行动”“就业援助月”等主题招聘和“零工驿站”，促进人岗精准匹配。</w:t>
      </w:r>
    </w:p>
    <w:p w14:paraId="6454A4BF">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持续扩大农民经营</w:t>
      </w:r>
      <w:r>
        <w:rPr>
          <w:rFonts w:hint="eastAsia" w:hAnsi="仿宋_GB2312" w:cs="仿宋_GB2312"/>
          <w:b/>
          <w:bCs/>
          <w:sz w:val="32"/>
          <w:szCs w:val="32"/>
          <w:lang w:val="en-US" w:eastAsia="zh-CN"/>
        </w:rPr>
        <w:t>性</w:t>
      </w:r>
      <w:r>
        <w:rPr>
          <w:rFonts w:hint="eastAsia" w:ascii="仿宋_GB2312" w:hAnsi="仿宋_GB2312" w:eastAsia="仿宋_GB2312" w:cs="仿宋_GB2312"/>
          <w:b/>
          <w:bCs/>
          <w:sz w:val="32"/>
          <w:szCs w:val="32"/>
          <w:lang w:eastAsia="zh-CN"/>
        </w:rPr>
        <w:t>收入。</w:t>
      </w:r>
      <w:r>
        <w:rPr>
          <w:rFonts w:hint="eastAsia" w:ascii="仿宋_GB2312" w:hAnsi="仿宋_GB2312" w:eastAsia="仿宋_GB2312" w:cs="仿宋_GB2312"/>
          <w:sz w:val="32"/>
          <w:szCs w:val="32"/>
          <w:lang w:eastAsia="zh-CN"/>
        </w:rPr>
        <w:t>大力发展棚膜经济、庭院养殖等乡村富民特色产业，建立健全“企业</w:t>
      </w:r>
      <w:r>
        <w:rPr>
          <w:rFonts w:hint="eastAsia" w:ascii="仿宋_GB2312" w:hAnsi="仿宋_GB2312" w:eastAsia="仿宋_GB2312" w:cs="仿宋_GB2312"/>
          <w:sz w:val="32"/>
          <w:szCs w:val="32"/>
          <w:lang w:val="en-US" w:eastAsia="zh-CN"/>
        </w:rPr>
        <w:t>+农户</w:t>
      </w:r>
      <w:r>
        <w:rPr>
          <w:rFonts w:hint="eastAsia" w:ascii="仿宋_GB2312" w:hAnsi="仿宋_GB2312" w:eastAsia="仿宋_GB2312" w:cs="仿宋_GB2312"/>
          <w:sz w:val="32"/>
          <w:szCs w:val="32"/>
          <w:lang w:eastAsia="zh-CN"/>
        </w:rPr>
        <w:t>”利益联结机制，</w:t>
      </w:r>
      <w:r>
        <w:rPr>
          <w:rFonts w:hint="eastAsia" w:hAnsi="仿宋_GB2312" w:cs="仿宋_GB2312"/>
          <w:sz w:val="32"/>
          <w:szCs w:val="32"/>
          <w:lang w:val="en-US" w:eastAsia="zh-CN"/>
        </w:rPr>
        <w:t>切实拓宽增收路径</w:t>
      </w:r>
      <w:r>
        <w:rPr>
          <w:rFonts w:hint="eastAsia" w:ascii="仿宋_GB2312" w:hAnsi="仿宋_GB2312" w:eastAsia="仿宋_GB2312" w:cs="仿宋_GB2312"/>
          <w:sz w:val="32"/>
          <w:szCs w:val="32"/>
          <w:lang w:eastAsia="zh-CN"/>
        </w:rPr>
        <w:t>。</w:t>
      </w:r>
    </w:p>
    <w:p w14:paraId="79E9AB4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有效激活农民财产性收入。</w:t>
      </w:r>
      <w:r>
        <w:rPr>
          <w:rFonts w:hint="eastAsia" w:ascii="仿宋_GB2312" w:hAnsi="仿宋_GB2312" w:eastAsia="仿宋_GB2312" w:cs="仿宋_GB2312"/>
          <w:sz w:val="32"/>
          <w:szCs w:val="32"/>
          <w:lang w:eastAsia="zh-CN"/>
        </w:rPr>
        <w:t>规范村集体“三资”管理，推动资源变资产、资金变股金、农民变股东。有序推进土地第二轮承包到期后再延包</w:t>
      </w:r>
      <w:r>
        <w:rPr>
          <w:rFonts w:hint="eastAsia" w:ascii="仿宋_GB2312" w:hAnsi="仿宋_GB2312" w:eastAsia="仿宋_GB2312" w:cs="仿宋_GB2312"/>
          <w:sz w:val="32"/>
          <w:szCs w:val="32"/>
          <w:lang w:val="en-US" w:eastAsia="zh-CN"/>
        </w:rPr>
        <w:t>30年工作。</w:t>
      </w:r>
    </w:p>
    <w:p w14:paraId="46B4AB3E">
      <w:pPr>
        <w:rPr>
          <w:rFonts w:ascii="黑体" w:hAnsi="黑体" w:eastAsia="黑体" w:cs="黑体"/>
          <w:color w:val="000000" w:themeColor="text1"/>
          <w14:textFill>
            <w14:solidFill>
              <w14:schemeClr w14:val="tx1"/>
            </w14:solidFill>
          </w14:textFill>
        </w:rPr>
      </w:pPr>
      <w:r>
        <w:rPr>
          <w:rFonts w:hint="eastAsia" w:ascii="仿宋_GB2312" w:hAnsi="仿宋_GB2312" w:eastAsia="仿宋_GB2312" w:cs="仿宋_GB2312"/>
          <w:b/>
          <w:bCs/>
          <w:sz w:val="32"/>
          <w:szCs w:val="32"/>
          <w:lang w:eastAsia="zh-CN"/>
        </w:rPr>
        <w:t>合理提高农民转移性收入。</w:t>
      </w:r>
      <w:r>
        <w:rPr>
          <w:rFonts w:hint="eastAsia" w:ascii="仿宋_GB2312" w:hAnsi="仿宋_GB2312" w:eastAsia="仿宋_GB2312" w:cs="仿宋_GB2312"/>
          <w:sz w:val="32"/>
          <w:szCs w:val="32"/>
          <w:lang w:eastAsia="zh-CN"/>
        </w:rPr>
        <w:t>落实耕地地力保护补贴、种粮农民一次性补贴等惠农补贴，确保及时足额发放。健全分层分类的社会救助体系，落实低保、特困供养等兜底政策。</w:t>
      </w:r>
    </w:p>
    <w:p w14:paraId="212C241A">
      <w:pPr>
        <w:rPr>
          <w:rFonts w:ascii="黑体" w:hAnsi="黑体" w:eastAsia="黑体" w:cs="黑体"/>
          <w:color w:val="000000" w:themeColor="text1"/>
          <w14:textFill>
            <w14:solidFill>
              <w14:schemeClr w14:val="tx1"/>
            </w14:solidFill>
          </w14:textFill>
        </w:rPr>
      </w:pPr>
    </w:p>
    <w:p w14:paraId="227D1C25">
      <w:pPr>
        <w:rPr>
          <w:rFonts w:hint="eastAsia" w:ascii="黑体" w:hAnsi="黑体" w:eastAsia="黑体" w:cs="黑体"/>
          <w:color w:val="000000" w:themeColor="text1"/>
          <w:lang w:eastAsia="zh-CN"/>
          <w14:textFill>
            <w14:solidFill>
              <w14:schemeClr w14:val="tx1"/>
            </w14:solidFill>
          </w14:textFill>
        </w:rPr>
      </w:pPr>
      <w:r>
        <w:rPr>
          <w:rFonts w:ascii="黑体" w:hAnsi="黑体" w:eastAsia="黑体" w:cs="黑体"/>
          <w:color w:val="000000" w:themeColor="text1"/>
          <w14:textFill>
            <w14:solidFill>
              <w14:schemeClr w14:val="tx1"/>
            </w14:solidFill>
          </w14:textFill>
        </w:rPr>
        <w:br w:type="page"/>
      </w:r>
    </w:p>
    <w:p w14:paraId="3BD9C2E7">
      <w:pPr>
        <w:pStyle w:val="2"/>
        <w:keepNext w:val="0"/>
        <w:keepLines w:val="0"/>
        <w:pageBreakBefore w:val="0"/>
        <w:widowControl w:val="0"/>
        <w:kinsoku/>
        <w:wordWrap/>
        <w:overflowPunct/>
        <w:topLinePunct w:val="0"/>
        <w:autoSpaceDE/>
        <w:autoSpaceDN/>
        <w:bidi w:val="0"/>
        <w:spacing w:before="312" w:after="312" w:line="600" w:lineRule="exact"/>
        <w:rPr>
          <w:color w:val="000000" w:themeColor="text1"/>
          <w14:textFill>
            <w14:solidFill>
              <w14:schemeClr w14:val="tx1"/>
            </w14:solidFill>
          </w14:textFill>
        </w:rPr>
      </w:pPr>
      <w:bookmarkStart w:id="430" w:name="_Toc211154023"/>
      <w:bookmarkStart w:id="431" w:name="_Toc9840"/>
      <w:bookmarkStart w:id="432" w:name="_Toc22688"/>
      <w:r>
        <w:rPr>
          <w:color w:val="000000" w:themeColor="text1"/>
          <w14:textFill>
            <w14:solidFill>
              <w14:schemeClr w14:val="tx1"/>
            </w14:solidFill>
          </w14:textFill>
        </w:rPr>
        <w:t>第九</w:t>
      </w:r>
      <w:r>
        <w:rPr>
          <w:rFonts w:hint="eastAsia"/>
          <w:color w:val="000000" w:themeColor="text1"/>
          <w14:textFill>
            <w14:solidFill>
              <w14:schemeClr w14:val="tx1"/>
            </w14:solidFill>
          </w14:textFill>
        </w:rPr>
        <w:t>章</w:t>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践行</w:t>
      </w:r>
      <w:r>
        <w:rPr>
          <w:color w:val="000000" w:themeColor="text1"/>
          <w14:textFill>
            <w14:solidFill>
              <w14:schemeClr w14:val="tx1"/>
            </w14:solidFill>
          </w14:textFill>
        </w:rPr>
        <w:t>绿色发展理念，</w:t>
      </w:r>
      <w:r>
        <w:rPr>
          <w:rFonts w:hint="eastAsia"/>
          <w:color w:val="000000" w:themeColor="text1"/>
          <w:lang w:val="en-US" w:eastAsia="zh-CN"/>
          <w14:textFill>
            <w14:solidFill>
              <w14:schemeClr w14:val="tx1"/>
            </w14:solidFill>
          </w14:textFill>
        </w:rPr>
        <w:t>打造环境友好</w:t>
      </w:r>
      <w:r>
        <w:rPr>
          <w:color w:val="000000" w:themeColor="text1"/>
          <w14:textFill>
            <w14:solidFill>
              <w14:schemeClr w14:val="tx1"/>
            </w14:solidFill>
          </w14:textFill>
        </w:rPr>
        <w:t>城区</w:t>
      </w:r>
      <w:bookmarkEnd w:id="430"/>
      <w:bookmarkEnd w:id="431"/>
    </w:p>
    <w:p w14:paraId="1E1BFE6E">
      <w:pPr>
        <w:keepNext w:val="0"/>
        <w:keepLines w:val="0"/>
        <w:pageBreakBefore w:val="0"/>
        <w:widowControl w:val="0"/>
        <w:kinsoku/>
        <w:wordWrap/>
        <w:overflowPunct/>
        <w:topLinePunct w:val="0"/>
        <w:autoSpaceDE/>
        <w:autoSpaceDN/>
        <w:bidi w:val="0"/>
        <w:adjustRightInd w:val="0"/>
        <w:snapToGrid w:val="0"/>
        <w:spacing w:line="600" w:lineRule="exact"/>
        <w:ind w:firstLine="64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深入贯彻落实习近平生态文明思想，</w:t>
      </w:r>
      <w:r>
        <w:rPr>
          <w:rFonts w:hint="eastAsia" w:hAnsi="仿宋_GB2312" w:cs="仿宋_GB2312"/>
          <w:color w:val="000000" w:themeColor="text1"/>
          <w:lang w:val="en-US" w:eastAsia="zh-CN"/>
          <w14:textFill>
            <w14:solidFill>
              <w14:schemeClr w14:val="tx1"/>
            </w14:solidFill>
          </w14:textFill>
        </w:rPr>
        <w:t>践行</w:t>
      </w:r>
      <w:r>
        <w:rPr>
          <w:rFonts w:hint="eastAsia" w:ascii="仿宋_GB2312" w:hAnsi="仿宋_GB2312" w:eastAsia="仿宋_GB2312" w:cs="仿宋_GB2312"/>
          <w:color w:val="000000" w:themeColor="text1"/>
          <w14:textFill>
            <w14:solidFill>
              <w14:schemeClr w14:val="tx1"/>
            </w14:solidFill>
          </w14:textFill>
        </w:rPr>
        <w:t>“两山”理念，推动高质量</w:t>
      </w:r>
      <w:r>
        <w:rPr>
          <w:rFonts w:hint="eastAsia" w:hAnsi="仿宋_GB2312" w:cs="仿宋_GB2312"/>
          <w:color w:val="000000" w:themeColor="text1"/>
          <w:lang w:val="en-US" w:eastAsia="zh-CN"/>
          <w14:textFill>
            <w14:solidFill>
              <w14:schemeClr w14:val="tx1"/>
            </w14:solidFill>
          </w14:textFill>
        </w:rPr>
        <w:t>发展</w:t>
      </w:r>
      <w:r>
        <w:rPr>
          <w:rFonts w:hint="eastAsia" w:ascii="仿宋_GB2312" w:hAnsi="仿宋_GB2312" w:eastAsia="仿宋_GB2312" w:cs="仿宋_GB2312"/>
          <w:color w:val="000000" w:themeColor="text1"/>
          <w14:textFill>
            <w14:solidFill>
              <w14:schemeClr w14:val="tx1"/>
            </w14:solidFill>
          </w14:textFill>
        </w:rPr>
        <w:t>与高水平生态协同</w:t>
      </w:r>
      <w:r>
        <w:rPr>
          <w:rFonts w:hint="eastAsia" w:hAnsi="仿宋_GB2312" w:cs="仿宋_GB2312"/>
          <w:color w:val="000000" w:themeColor="text1"/>
          <w:lang w:val="en-US" w:eastAsia="zh-CN"/>
          <w14:textFill>
            <w14:solidFill>
              <w14:schemeClr w14:val="tx1"/>
            </w14:solidFill>
          </w14:textFill>
        </w:rPr>
        <w:t>共进</w:t>
      </w:r>
      <w:r>
        <w:rPr>
          <w:rFonts w:hint="eastAsia" w:ascii="仿宋_GB2312" w:hAnsi="仿宋_GB2312" w:eastAsia="仿宋_GB2312" w:cs="仿宋_GB2312"/>
          <w:color w:val="000000" w:themeColor="text1"/>
          <w14:textFill>
            <w14:solidFill>
              <w14:schemeClr w14:val="tx1"/>
            </w14:solidFill>
          </w14:textFill>
        </w:rPr>
        <w:t>，构筑系统化、常态化的生态屏障。</w:t>
      </w:r>
    </w:p>
    <w:p w14:paraId="466014B0">
      <w:pPr>
        <w:pStyle w:val="3"/>
        <w:keepNext w:val="0"/>
        <w:keepLines w:val="0"/>
        <w:pageBreakBefore w:val="0"/>
        <w:widowControl w:val="0"/>
        <w:kinsoku/>
        <w:wordWrap/>
        <w:overflowPunct/>
        <w:topLinePunct w:val="0"/>
        <w:autoSpaceDE/>
        <w:autoSpaceDN/>
        <w:bidi w:val="0"/>
        <w:spacing w:before="156" w:after="156" w:line="600" w:lineRule="exact"/>
        <w:ind w:firstLine="0" w:firstLineChars="0"/>
        <w:outlineLvl w:val="1"/>
        <w:rPr>
          <w:rFonts w:hint="default" w:eastAsia="楷体"/>
          <w:color w:val="000000" w:themeColor="text1"/>
          <w:lang w:val="en-US" w:eastAsia="zh-CN"/>
          <w14:textFill>
            <w14:solidFill>
              <w14:schemeClr w14:val="tx1"/>
            </w14:solidFill>
          </w14:textFill>
        </w:rPr>
      </w:pPr>
      <w:bookmarkStart w:id="433" w:name="_Toc20430"/>
      <w:bookmarkStart w:id="434" w:name="_Toc10540"/>
      <w:bookmarkStart w:id="435" w:name="_Toc1754265960"/>
      <w:bookmarkStart w:id="436" w:name="_Toc30588"/>
      <w:bookmarkStart w:id="437" w:name="_Toc1196321985"/>
      <w:bookmarkStart w:id="438" w:name="_Toc669330862"/>
      <w:bookmarkStart w:id="439" w:name="_Toc2122841576"/>
      <w:bookmarkStart w:id="440" w:name="_Toc578091864"/>
      <w:bookmarkStart w:id="441" w:name="_Toc211154024"/>
      <w:bookmarkStart w:id="442" w:name="_Toc710426366"/>
      <w:bookmarkStart w:id="443" w:name="_Toc1207038656"/>
      <w:bookmarkStart w:id="444" w:name="_Toc1073261862"/>
      <w:bookmarkStart w:id="445" w:name="_Toc1749050324"/>
      <w:bookmarkStart w:id="446" w:name="_Toc25491"/>
      <w:bookmarkStart w:id="447" w:name="_Toc777206135"/>
      <w:bookmarkStart w:id="448" w:name="_Toc1983456051"/>
      <w:bookmarkStart w:id="449" w:name="_Toc653780369"/>
      <w:bookmarkStart w:id="450" w:name="_Toc15707"/>
      <w:bookmarkStart w:id="451" w:name="_Toc230017114"/>
      <w:bookmarkStart w:id="452" w:name="_Toc18878"/>
      <w:r>
        <w:rPr>
          <w:rFonts w:hint="eastAsia"/>
          <w:color w:val="000000" w:themeColor="text1"/>
          <w14:textFill>
            <w14:solidFill>
              <w14:schemeClr w14:val="tx1"/>
            </w14:solidFill>
          </w14:textFill>
        </w:rPr>
        <w:t xml:space="preserve">第一节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color w:val="000000" w:themeColor="text1"/>
          <w:lang w:val="en-US" w:eastAsia="zh-CN"/>
          <w14:textFill>
            <w14:solidFill>
              <w14:schemeClr w14:val="tx1"/>
            </w14:solidFill>
          </w14:textFill>
        </w:rPr>
        <w:t>深化重点领域污染防治</w:t>
      </w:r>
      <w:bookmarkEnd w:id="452"/>
    </w:p>
    <w:p w14:paraId="1D8EBD73">
      <w:pPr>
        <w:keepNext w:val="0"/>
        <w:keepLines w:val="0"/>
        <w:pageBreakBefore w:val="0"/>
        <w:widowControl w:val="0"/>
        <w:kinsoku/>
        <w:wordWrap/>
        <w:overflowPunct/>
        <w:topLinePunct w:val="0"/>
        <w:autoSpaceDE/>
        <w:autoSpaceDN/>
        <w:bidi w:val="0"/>
        <w:spacing w:line="600" w:lineRule="exact"/>
        <w:rPr>
          <w:rFonts w:hint="eastAsia" w:ascii="仿宋_GB2312" w:hAnsi="仿宋_GB2312" w:eastAsia="仿宋_GB2312" w:cs="仿宋_GB2312"/>
        </w:rPr>
      </w:pPr>
      <w:bookmarkStart w:id="453" w:name="_Toc14486"/>
      <w:bookmarkStart w:id="454" w:name="_Toc2702"/>
      <w:bookmarkStart w:id="455" w:name="_Toc557196776"/>
      <w:bookmarkStart w:id="456" w:name="_Toc305056574"/>
      <w:bookmarkStart w:id="457" w:name="_Toc1596963481"/>
      <w:bookmarkStart w:id="458" w:name="_Toc1532635332"/>
      <w:bookmarkStart w:id="459" w:name="_Toc1507969891"/>
      <w:bookmarkStart w:id="460" w:name="_Toc1560323731"/>
      <w:bookmarkStart w:id="461" w:name="_Toc8591"/>
      <w:bookmarkStart w:id="462" w:name="_Toc18845"/>
      <w:bookmarkStart w:id="463" w:name="_Toc2700"/>
      <w:bookmarkStart w:id="464" w:name="_Toc427070398"/>
      <w:bookmarkStart w:id="465" w:name="_Toc126856042"/>
      <w:bookmarkStart w:id="466" w:name="_Toc17776"/>
      <w:bookmarkStart w:id="467" w:name="_Toc773939220"/>
      <w:bookmarkStart w:id="468" w:name="_Toc1568161830"/>
      <w:bookmarkStart w:id="469" w:name="_Toc924454648"/>
      <w:bookmarkStart w:id="470" w:name="_Toc1145000057"/>
      <w:bookmarkStart w:id="471" w:name="_Toc1841698681"/>
      <w:r>
        <w:rPr>
          <w:rFonts w:hint="eastAsia" w:ascii="仿宋_GB2312" w:hAnsi="仿宋_GB2312" w:eastAsia="仿宋_GB2312" w:cs="仿宋_GB2312"/>
          <w:b/>
          <w:bCs/>
          <w:lang w:val="en-US" w:eastAsia="zh-CN"/>
        </w:rPr>
        <w:t>强化空气污染治理。</w:t>
      </w:r>
      <w:r>
        <w:rPr>
          <w:rFonts w:hint="eastAsia" w:ascii="仿宋_GB2312" w:hAnsi="仿宋_GB2312" w:eastAsia="仿宋_GB2312" w:cs="仿宋_GB2312"/>
        </w:rPr>
        <w:t>深化工业污染源治理</w:t>
      </w:r>
      <w:r>
        <w:rPr>
          <w:rFonts w:hint="eastAsia" w:hAnsi="仿宋_GB2312" w:cs="仿宋_GB2312"/>
          <w:lang w:eastAsia="zh-CN"/>
        </w:rPr>
        <w:t>，</w:t>
      </w:r>
      <w:r>
        <w:rPr>
          <w:rFonts w:hint="eastAsia" w:ascii="仿宋_GB2312" w:hAnsi="仿宋_GB2312" w:eastAsia="仿宋_GB2312" w:cs="仿宋_GB2312"/>
        </w:rPr>
        <w:t>开展“压煤、抑尘、减排、治污”专项治理行动，突出根治工业企业废气排放、燃煤锅炉、柴油货车、扬尘和餐饮油烟等重点污染源。</w:t>
      </w:r>
    </w:p>
    <w:p w14:paraId="52C1DE4E">
      <w:pPr>
        <w:keepNext w:val="0"/>
        <w:keepLines w:val="0"/>
        <w:pageBreakBefore w:val="0"/>
        <w:widowControl w:val="0"/>
        <w:kinsoku/>
        <w:wordWrap/>
        <w:overflowPunct/>
        <w:topLinePunct w:val="0"/>
        <w:autoSpaceDE/>
        <w:autoSpaceDN/>
        <w:bidi w:val="0"/>
        <w:spacing w:line="600" w:lineRule="exact"/>
        <w:rPr>
          <w:rFonts w:hint="eastAsia" w:ascii="仿宋_GB2312" w:hAnsi="仿宋_GB2312" w:eastAsia="仿宋_GB2312" w:cs="仿宋_GB2312"/>
        </w:rPr>
      </w:pPr>
      <w:r>
        <w:rPr>
          <w:rFonts w:hint="eastAsia" w:ascii="仿宋_GB2312" w:hAnsi="仿宋_GB2312" w:eastAsia="仿宋_GB2312" w:cs="仿宋_GB2312"/>
          <w:b/>
          <w:bCs/>
          <w:lang w:val="en-US" w:eastAsia="zh-CN"/>
        </w:rPr>
        <w:t>强化水污染治理。</w:t>
      </w:r>
      <w:r>
        <w:rPr>
          <w:rFonts w:hint="eastAsia" w:ascii="仿宋_GB2312" w:hAnsi="仿宋_GB2312" w:eastAsia="仿宋_GB2312" w:cs="仿宋_GB2312"/>
        </w:rPr>
        <w:t>实施河道清淤疏浚、生态护岸建设和人工湿地净化项目，推进雨污分流管网改造和污水处理设施提标扩容。</w:t>
      </w:r>
    </w:p>
    <w:p w14:paraId="3DC19B01">
      <w:pPr>
        <w:keepNext w:val="0"/>
        <w:keepLines w:val="0"/>
        <w:pageBreakBefore w:val="0"/>
        <w:widowControl w:val="0"/>
        <w:kinsoku/>
        <w:wordWrap/>
        <w:overflowPunct/>
        <w:topLinePunct w:val="0"/>
        <w:autoSpaceDE/>
        <w:autoSpaceDN/>
        <w:bidi w:val="0"/>
        <w:spacing w:line="600" w:lineRule="exact"/>
        <w:rPr>
          <w:rFonts w:hint="eastAsia" w:ascii="仿宋_GB2312" w:hAnsi="仿宋_GB2312" w:eastAsia="仿宋_GB2312" w:cs="仿宋_GB2312"/>
        </w:rPr>
      </w:pPr>
      <w:r>
        <w:rPr>
          <w:rFonts w:hint="eastAsia" w:ascii="仿宋_GB2312" w:hAnsi="仿宋_GB2312" w:eastAsia="仿宋_GB2312" w:cs="仿宋_GB2312"/>
          <w:b/>
          <w:bCs/>
          <w:lang w:val="en-US" w:eastAsia="zh-CN"/>
        </w:rPr>
        <w:t>强化土地污染治理。</w:t>
      </w:r>
      <w:r>
        <w:rPr>
          <w:rFonts w:hint="eastAsia" w:ascii="仿宋_GB2312" w:hAnsi="仿宋_GB2312" w:eastAsia="仿宋_GB2312" w:cs="仿宋_GB2312"/>
        </w:rPr>
        <w:t>常态化开展企业土壤污染状况调查，提升污染地块修复与安全利用</w:t>
      </w:r>
      <w:r>
        <w:rPr>
          <w:rFonts w:hint="eastAsia" w:hAnsi="仿宋_GB2312" w:cs="仿宋_GB2312"/>
          <w:lang w:val="en-US" w:eastAsia="zh-CN"/>
        </w:rPr>
        <w:t>水平</w:t>
      </w:r>
      <w:r>
        <w:rPr>
          <w:rFonts w:hint="eastAsia" w:ascii="仿宋_GB2312" w:hAnsi="仿宋_GB2312" w:eastAsia="仿宋_GB2312" w:cs="仿宋_GB2312"/>
        </w:rPr>
        <w:t>。</w:t>
      </w:r>
    </w:p>
    <w:p w14:paraId="5A2FA610">
      <w:pPr>
        <w:keepNext w:val="0"/>
        <w:keepLines w:val="0"/>
        <w:pageBreakBefore w:val="0"/>
        <w:widowControl w:val="0"/>
        <w:kinsoku/>
        <w:wordWrap/>
        <w:overflowPunct/>
        <w:topLinePunct w:val="0"/>
        <w:autoSpaceDE/>
        <w:autoSpaceDN/>
        <w:bidi w:val="0"/>
        <w:spacing w:line="60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lang w:val="en-US" w:eastAsia="zh-CN"/>
        </w:rPr>
        <w:t>强化噪音污染治理。</w:t>
      </w:r>
      <w:r>
        <w:rPr>
          <w:rFonts w:hint="eastAsia" w:ascii="仿宋_GB2312" w:hAnsi="仿宋_GB2312" w:eastAsia="仿宋_GB2312" w:cs="仿宋_GB2312"/>
        </w:rPr>
        <w:t>突出工业生产、道路交通、建筑施工、商业经营等重点领域、重点时段的噪声污染管控，对文化娱乐、商业经营</w:t>
      </w:r>
      <w:r>
        <w:rPr>
          <w:rFonts w:hint="eastAsia" w:hAnsi="仿宋_GB2312" w:cs="仿宋_GB2312"/>
          <w:lang w:val="en-US" w:eastAsia="zh-CN"/>
        </w:rPr>
        <w:t>产生的</w:t>
      </w:r>
      <w:r>
        <w:rPr>
          <w:rFonts w:hint="eastAsia" w:ascii="仿宋_GB2312" w:hAnsi="仿宋_GB2312" w:eastAsia="仿宋_GB2312" w:cs="仿宋_GB2312"/>
        </w:rPr>
        <w:t>噪声问题</w:t>
      </w:r>
      <w:r>
        <w:rPr>
          <w:rFonts w:hint="eastAsia" w:hAnsi="仿宋_GB2312" w:cs="仿宋_GB2312"/>
          <w:lang w:val="en-US" w:eastAsia="zh-CN"/>
        </w:rPr>
        <w:t>开展</w:t>
      </w:r>
      <w:r>
        <w:rPr>
          <w:rFonts w:hint="eastAsia" w:ascii="仿宋_GB2312" w:hAnsi="仿宋_GB2312" w:eastAsia="仿宋_GB2312" w:cs="仿宋_GB2312"/>
        </w:rPr>
        <w:t>日常监管和集中整治，打造</w:t>
      </w:r>
      <w:r>
        <w:rPr>
          <w:rFonts w:hint="eastAsia" w:hAnsi="仿宋_GB2312" w:cs="仿宋_GB2312"/>
          <w:lang w:val="en-US" w:eastAsia="zh-CN"/>
        </w:rPr>
        <w:t>安</w:t>
      </w:r>
      <w:r>
        <w:rPr>
          <w:rFonts w:hint="eastAsia" w:ascii="仿宋_GB2312" w:hAnsi="仿宋_GB2312" w:eastAsia="仿宋_GB2312" w:cs="仿宋_GB2312"/>
        </w:rPr>
        <w:t>宁</w:t>
      </w:r>
      <w:r>
        <w:rPr>
          <w:rFonts w:hint="eastAsia" w:hAnsi="仿宋_GB2312" w:cs="仿宋_GB2312"/>
          <w:lang w:val="en-US" w:eastAsia="zh-CN"/>
        </w:rPr>
        <w:t>社会环境</w:t>
      </w:r>
      <w:r>
        <w:rPr>
          <w:rFonts w:hint="eastAsia" w:ascii="仿宋_GB2312" w:hAnsi="仿宋_GB2312" w:eastAsia="仿宋_GB2312" w:cs="仿宋_GB2312"/>
          <w:color w:val="000000" w:themeColor="text1"/>
          <w14:textFill>
            <w14:solidFill>
              <w14:schemeClr w14:val="tx1"/>
            </w14:solidFill>
          </w14:textFill>
        </w:rPr>
        <w:t>。</w:t>
      </w:r>
      <w:bookmarkEnd w:id="453"/>
    </w:p>
    <w:p w14:paraId="40F7B954">
      <w:pPr>
        <w:pStyle w:val="3"/>
        <w:keepNext w:val="0"/>
        <w:keepLines w:val="0"/>
        <w:pageBreakBefore w:val="0"/>
        <w:widowControl w:val="0"/>
        <w:kinsoku/>
        <w:wordWrap/>
        <w:overflowPunct/>
        <w:topLinePunct w:val="0"/>
        <w:autoSpaceDE/>
        <w:autoSpaceDN/>
        <w:bidi w:val="0"/>
        <w:spacing w:before="156" w:after="156" w:line="600" w:lineRule="exact"/>
        <w:ind w:firstLine="0" w:firstLineChars="0"/>
        <w:outlineLvl w:val="1"/>
        <w:rPr>
          <w:rFonts w:hint="eastAsia" w:eastAsia="楷体"/>
          <w:color w:val="000000" w:themeColor="text1"/>
          <w:lang w:eastAsia="zh-CN"/>
          <w14:textFill>
            <w14:solidFill>
              <w14:schemeClr w14:val="tx1"/>
            </w14:solidFill>
          </w14:textFill>
        </w:rPr>
      </w:pPr>
      <w:bookmarkStart w:id="472" w:name="_Toc3600"/>
      <w:bookmarkStart w:id="473" w:name="_Toc211154025"/>
      <w:r>
        <w:rPr>
          <w:rFonts w:hint="eastAsia"/>
          <w:color w:val="000000" w:themeColor="text1"/>
          <w14:textFill>
            <w14:solidFill>
              <w14:schemeClr w14:val="tx1"/>
            </w14:solidFill>
          </w14:textFill>
        </w:rPr>
        <w:t>第二节 提升生态环境品质</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76BA823B">
      <w:pPr>
        <w:keepNext w:val="0"/>
        <w:keepLines w:val="0"/>
        <w:pageBreakBefore w:val="0"/>
        <w:widowControl w:val="0"/>
        <w:kinsoku/>
        <w:wordWrap/>
        <w:overflowPunct/>
        <w:topLinePunct w:val="0"/>
        <w:autoSpaceDE/>
        <w:autoSpaceDN/>
        <w:bidi w:val="0"/>
        <w:spacing w:line="600" w:lineRule="exact"/>
        <w:rPr>
          <w:rFonts w:hint="eastAsia" w:ascii="仿宋_GB2312" w:hAnsi="仿宋_GB2312" w:eastAsia="仿宋_GB2312" w:cs="仿宋_GB2312"/>
        </w:rPr>
      </w:pPr>
      <w:r>
        <w:rPr>
          <w:rFonts w:hint="eastAsia" w:ascii="仿宋_GB2312" w:hAnsi="仿宋_GB2312" w:eastAsia="仿宋_GB2312" w:cs="仿宋_GB2312"/>
          <w:b/>
          <w:bCs/>
        </w:rPr>
        <w:t>开发利用滨水生态空间。</w:t>
      </w:r>
      <w:r>
        <w:rPr>
          <w:rFonts w:hint="eastAsia" w:ascii="仿宋_GB2312" w:hAnsi="仿宋_GB2312" w:eastAsia="仿宋_GB2312" w:cs="仿宋_GB2312"/>
        </w:rPr>
        <w:t>统筹生态保护与功能提升，谋划建设滨水慢行绿道、亲水平台、文化展廊等设施，串联明沟、</w:t>
      </w:r>
      <w:r>
        <w:rPr>
          <w:rFonts w:hint="eastAsia" w:hAnsi="仿宋_GB2312" w:cs="仿宋_GB2312"/>
          <w:lang w:val="en-US" w:eastAsia="zh-CN"/>
        </w:rPr>
        <w:t>河湖、</w:t>
      </w:r>
      <w:r>
        <w:rPr>
          <w:rFonts w:hint="eastAsia" w:ascii="仿宋_GB2312" w:hAnsi="仿宋_GB2312" w:eastAsia="仿宋_GB2312" w:cs="仿宋_GB2312"/>
        </w:rPr>
        <w:t>水库等水体资源，建设融休闲健身、生态园林、亲水港湾为一体的伊通河水岸观光热点。</w:t>
      </w:r>
    </w:p>
    <w:p w14:paraId="5679A07C">
      <w:pPr>
        <w:keepNext w:val="0"/>
        <w:keepLines w:val="0"/>
        <w:pageBreakBefore w:val="0"/>
        <w:widowControl w:val="0"/>
        <w:kinsoku/>
        <w:wordWrap/>
        <w:overflowPunct/>
        <w:topLinePunct w:val="0"/>
        <w:autoSpaceDE/>
        <w:autoSpaceDN/>
        <w:bidi w:val="0"/>
        <w:spacing w:line="600" w:lineRule="exact"/>
        <w:rPr>
          <w:rFonts w:hint="eastAsia" w:ascii="仿宋_GB2312" w:hAnsi="仿宋_GB2312" w:eastAsia="仿宋_GB2312" w:cs="仿宋_GB2312"/>
          <w:lang w:eastAsia="zh-CN"/>
        </w:rPr>
      </w:pPr>
      <w:r>
        <w:rPr>
          <w:rFonts w:hint="eastAsia" w:ascii="仿宋_GB2312" w:hAnsi="仿宋_GB2312" w:eastAsia="仿宋_GB2312" w:cs="仿宋_GB2312"/>
          <w:b/>
          <w:bCs/>
        </w:rPr>
        <w:t>实施“公园城市”提质行动。</w:t>
      </w:r>
      <w:r>
        <w:rPr>
          <w:rFonts w:hint="eastAsia" w:ascii="仿宋_GB2312" w:hAnsi="仿宋_GB2312" w:eastAsia="仿宋_GB2312" w:cs="仿宋_GB2312"/>
        </w:rPr>
        <w:t>充分利用城市边角地、腾退地和串湖明沟等空间资源，多渠道建设城市公园，见缝插绿建设口袋公园</w:t>
      </w:r>
      <w:r>
        <w:rPr>
          <w:rFonts w:hint="eastAsia" w:ascii="仿宋_GB2312" w:hAnsi="仿宋_GB2312" w:eastAsia="仿宋_GB2312" w:cs="仿宋_GB2312"/>
          <w:lang w:eastAsia="zh-CN"/>
        </w:rPr>
        <w:t>。</w:t>
      </w:r>
    </w:p>
    <w:p w14:paraId="42CC2E6B">
      <w:pPr>
        <w:keepNext w:val="0"/>
        <w:keepLines w:val="0"/>
        <w:pageBreakBefore w:val="0"/>
        <w:widowControl w:val="0"/>
        <w:kinsoku/>
        <w:wordWrap/>
        <w:overflowPunct/>
        <w:topLinePunct w:val="0"/>
        <w:autoSpaceDE/>
        <w:autoSpaceDN/>
        <w:bidi w:val="0"/>
        <w:spacing w:line="60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eastAsia="仿宋_GB2312"/>
          <w:b/>
          <w:bCs/>
        </w:rPr>
        <w:t>推进城市绿化美化。</w:t>
      </w:r>
      <w:r>
        <w:rPr>
          <w:rFonts w:hint="eastAsia" w:ascii="仿宋_GB2312" w:eastAsia="仿宋_GB2312"/>
        </w:rPr>
        <w:t>利用城市街角空地、黄土裸露等空间建设“口袋花园”，对道路管沟、人行道管沟、绿化带进行重点治理，推进“还绿行动”，清理“毁绿种菜”等行为。</w:t>
      </w:r>
    </w:p>
    <w:p w14:paraId="44BA3D85">
      <w:pPr>
        <w:pStyle w:val="3"/>
        <w:keepNext w:val="0"/>
        <w:keepLines w:val="0"/>
        <w:pageBreakBefore w:val="0"/>
        <w:widowControl w:val="0"/>
        <w:kinsoku/>
        <w:wordWrap/>
        <w:overflowPunct/>
        <w:topLinePunct w:val="0"/>
        <w:autoSpaceDE/>
        <w:autoSpaceDN/>
        <w:bidi w:val="0"/>
        <w:spacing w:before="156" w:after="156" w:line="600" w:lineRule="exact"/>
        <w:ind w:firstLine="0" w:firstLineChars="0"/>
        <w:outlineLvl w:val="1"/>
        <w:rPr>
          <w:color w:val="000000" w:themeColor="text1"/>
          <w14:textFill>
            <w14:solidFill>
              <w14:schemeClr w14:val="tx1"/>
            </w14:solidFill>
          </w14:textFill>
        </w:rPr>
      </w:pPr>
      <w:bookmarkStart w:id="474" w:name="_Toc914604961"/>
      <w:bookmarkStart w:id="475" w:name="_Toc881830912"/>
      <w:bookmarkStart w:id="476" w:name="_Toc4759"/>
      <w:bookmarkStart w:id="477" w:name="_Toc1777513312"/>
      <w:bookmarkStart w:id="478" w:name="_Toc414997232"/>
      <w:bookmarkStart w:id="479" w:name="_Toc6863"/>
      <w:bookmarkStart w:id="480" w:name="_Toc29077179"/>
      <w:bookmarkStart w:id="481" w:name="_Toc12047"/>
      <w:bookmarkStart w:id="482" w:name="_Toc1747927356"/>
      <w:bookmarkStart w:id="483" w:name="_Toc1042373829"/>
      <w:bookmarkStart w:id="484" w:name="_Toc21206"/>
      <w:bookmarkStart w:id="485" w:name="_Toc265082891"/>
      <w:bookmarkStart w:id="486" w:name="_Toc23760"/>
      <w:bookmarkStart w:id="487" w:name="_Toc288020661"/>
      <w:bookmarkStart w:id="488" w:name="_Toc211154026"/>
      <w:bookmarkStart w:id="489" w:name="_Toc22858"/>
      <w:bookmarkStart w:id="490" w:name="_Toc2083162806"/>
      <w:bookmarkStart w:id="491" w:name="_Toc1765720070"/>
      <w:bookmarkStart w:id="492" w:name="_Toc1995439790"/>
      <w:bookmarkStart w:id="493" w:name="_Toc1438133400"/>
      <w:r>
        <w:rPr>
          <w:rFonts w:hint="eastAsia"/>
          <w:color w:val="000000" w:themeColor="text1"/>
          <w14:textFill>
            <w14:solidFill>
              <w14:schemeClr w14:val="tx1"/>
            </w14:solidFill>
          </w14:textFill>
        </w:rPr>
        <w:t xml:space="preserve">第三节 </w:t>
      </w:r>
      <w:r>
        <w:rPr>
          <w:rFonts w:hint="eastAsia"/>
          <w:color w:val="000000" w:themeColor="text1"/>
          <w:lang w:val="en-US" w:eastAsia="zh-CN"/>
          <w14:textFill>
            <w14:solidFill>
              <w14:schemeClr w14:val="tx1"/>
            </w14:solidFill>
          </w14:textFill>
        </w:rPr>
        <w:t>推动</w:t>
      </w:r>
      <w:r>
        <w:rPr>
          <w:rFonts w:hint="eastAsia"/>
          <w:color w:val="000000" w:themeColor="text1"/>
          <w14:textFill>
            <w14:solidFill>
              <w14:schemeClr w14:val="tx1"/>
            </w14:solidFill>
          </w14:textFill>
        </w:rPr>
        <w:t>绿色低碳生产生活</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70252E61">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rPr>
      </w:pPr>
      <w:r>
        <w:rPr>
          <w:rFonts w:hint="eastAsia" w:ascii="仿宋_GB2312" w:eastAsia="仿宋_GB2312"/>
          <w:b/>
          <w:bCs/>
        </w:rPr>
        <w:t>推进资源节约利用。</w:t>
      </w:r>
      <w:r>
        <w:rPr>
          <w:rFonts w:hint="eastAsia" w:ascii="仿宋_GB2312" w:eastAsia="仿宋_GB2312"/>
        </w:rPr>
        <w:t>推</w:t>
      </w:r>
      <w:r>
        <w:rPr>
          <w:rFonts w:hint="eastAsia"/>
          <w:lang w:val="en-US" w:eastAsia="zh-CN"/>
        </w:rPr>
        <w:t>动</w:t>
      </w:r>
      <w:r>
        <w:rPr>
          <w:rFonts w:hint="eastAsia" w:ascii="仿宋_GB2312" w:eastAsia="仿宋_GB2312"/>
        </w:rPr>
        <w:t>传统产业绿色节能改造，加强高效节能设备和节能技术推广应用，加快淘汰落后工艺和设备，严格控制高耗能、高排放企业准入。</w:t>
      </w:r>
    </w:p>
    <w:p w14:paraId="3015352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rPr>
      </w:pPr>
      <w:r>
        <w:rPr>
          <w:rFonts w:hint="eastAsia" w:ascii="仿宋_GB2312" w:eastAsia="仿宋_GB2312"/>
          <w:b/>
          <w:bCs/>
        </w:rPr>
        <w:t>加快绿电能源网络布局。</w:t>
      </w:r>
      <w:r>
        <w:rPr>
          <w:rFonts w:hint="eastAsia" w:ascii="仿宋_GB2312" w:eastAsia="仿宋_GB2312"/>
        </w:rPr>
        <w:t>依托轨道交通站点、行政中心区、城市公园及核心商圈，加密智能充电设施布局，结合老旧小区改造植入光伏车棚。</w:t>
      </w:r>
    </w:p>
    <w:p w14:paraId="0462A105">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color w:val="000000" w:themeColor="text1"/>
          <w14:textFill>
            <w14:solidFill>
              <w14:schemeClr w14:val="tx1"/>
            </w14:solidFill>
          </w14:textFill>
        </w:rPr>
      </w:pPr>
      <w:r>
        <w:rPr>
          <w:rFonts w:hint="eastAsia" w:ascii="仿宋_GB2312" w:eastAsia="仿宋_GB2312"/>
          <w:b/>
          <w:bCs/>
        </w:rPr>
        <w:t>推</w:t>
      </w:r>
      <w:r>
        <w:rPr>
          <w:rFonts w:hint="eastAsia"/>
          <w:b/>
          <w:bCs/>
          <w:lang w:val="en-US" w:eastAsia="zh-CN"/>
        </w:rPr>
        <w:t>动</w:t>
      </w:r>
      <w:r>
        <w:rPr>
          <w:rFonts w:hint="eastAsia" w:ascii="仿宋_GB2312" w:eastAsia="仿宋_GB2312"/>
          <w:b/>
          <w:bCs/>
        </w:rPr>
        <w:t>市政设施绿色化转型。</w:t>
      </w:r>
      <w:r>
        <w:rPr>
          <w:rFonts w:hint="eastAsia" w:ascii="仿宋_GB2312" w:eastAsia="仿宋_GB2312"/>
        </w:rPr>
        <w:t>加快传统热源与太阳能、风能、空气能等再生能源多能互补，</w:t>
      </w:r>
      <w:r>
        <w:rPr>
          <w:rFonts w:hint="default" w:ascii="Times New Roman" w:hAnsi="Times New Roman" w:eastAsia="仿宋_GB2312" w:cs="Times New Roman"/>
          <w:color w:val="auto"/>
          <w:lang w:val="en-US" w:eastAsia="zh-CN"/>
        </w:rPr>
        <w:t>集成发电送电监测、储能调配、用能调整等功能</w:t>
      </w:r>
      <w:r>
        <w:rPr>
          <w:rFonts w:hint="eastAsia" w:ascii="Times New Roman" w:cs="Times New Roman"/>
          <w:color w:val="auto"/>
          <w:lang w:val="en-US" w:eastAsia="zh-CN"/>
        </w:rPr>
        <w:t>，</w:t>
      </w:r>
      <w:r>
        <w:rPr>
          <w:rFonts w:hint="default" w:ascii="Times New Roman" w:hAnsi="Times New Roman" w:eastAsia="仿宋_GB2312" w:cs="Times New Roman"/>
          <w:color w:val="auto"/>
          <w:lang w:val="en-US" w:eastAsia="zh-CN"/>
        </w:rPr>
        <w:t>构建全域能源数字管理平台</w:t>
      </w:r>
      <w:r>
        <w:rPr>
          <w:rFonts w:hint="eastAsia" w:ascii="Times New Roman" w:cs="Times New Roman"/>
          <w:color w:val="auto"/>
          <w:lang w:val="en-US" w:eastAsia="zh-CN"/>
        </w:rPr>
        <w:t>。</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432"/>
      <w:bookmarkStart w:id="494" w:name="_Toc2815"/>
      <w:bookmarkStart w:id="495" w:name="_Toc211154027"/>
      <w:bookmarkStart w:id="496" w:name="_Toc8350"/>
      <w:bookmarkStart w:id="497" w:name="_Toc211154031"/>
      <w:bookmarkStart w:id="498" w:name="_Toc211154036"/>
      <w:bookmarkStart w:id="499" w:name="_Toc1752821930"/>
      <w:bookmarkStart w:id="500" w:name="_Toc1006245132"/>
      <w:bookmarkStart w:id="501" w:name="_Toc46717820"/>
      <w:bookmarkStart w:id="502" w:name="_Toc1432369055"/>
      <w:bookmarkStart w:id="503" w:name="_Toc1315427847"/>
      <w:bookmarkStart w:id="504" w:name="_Toc878362742"/>
      <w:bookmarkStart w:id="505" w:name="_Toc1156284364"/>
      <w:bookmarkStart w:id="506" w:name="_Toc2718"/>
      <w:bookmarkStart w:id="507" w:name="_Toc1184715596"/>
      <w:bookmarkStart w:id="508" w:name="_Toc1635049080"/>
      <w:r>
        <w:rPr>
          <w:rFonts w:hint="eastAsia"/>
          <w:color w:val="000000" w:themeColor="text1"/>
          <w14:textFill>
            <w14:solidFill>
              <w14:schemeClr w14:val="tx1"/>
            </w14:solidFill>
          </w14:textFill>
        </w:rPr>
        <w:br w:type="page"/>
      </w:r>
    </w:p>
    <w:p w14:paraId="0318E6BE">
      <w:pPr>
        <w:pStyle w:val="2"/>
        <w:keepNext w:val="0"/>
        <w:keepLines w:val="0"/>
        <w:pageBreakBefore w:val="0"/>
        <w:widowControl w:val="0"/>
        <w:kinsoku/>
        <w:wordWrap/>
        <w:overflowPunct/>
        <w:topLinePunct w:val="0"/>
        <w:autoSpaceDE/>
        <w:autoSpaceDN/>
        <w:bidi w:val="0"/>
        <w:adjustRightInd w:val="0"/>
        <w:snapToGrid w:val="0"/>
        <w:spacing w:before="312" w:after="312" w:line="600" w:lineRule="exact"/>
        <w:textAlignment w:val="auto"/>
        <w:rPr>
          <w:color w:val="000000" w:themeColor="text1"/>
          <w14:textFill>
            <w14:solidFill>
              <w14:schemeClr w14:val="tx1"/>
            </w14:solidFill>
          </w14:textFill>
        </w:rPr>
      </w:pPr>
      <w:bookmarkStart w:id="509" w:name="_Toc14850"/>
      <w:r>
        <w:rPr>
          <w:rFonts w:hint="eastAsia"/>
          <w:color w:val="000000" w:themeColor="text1"/>
          <w14:textFill>
            <w14:solidFill>
              <w14:schemeClr w14:val="tx1"/>
            </w14:solidFill>
          </w14:textFill>
        </w:rPr>
        <w:t xml:space="preserve">第十章 </w:t>
      </w:r>
      <w:r>
        <w:rPr>
          <w:rFonts w:hint="eastAsia"/>
          <w:color w:val="000000" w:themeColor="text1"/>
          <w:lang w:val="en-US" w:eastAsia="zh-CN"/>
          <w14:textFill>
            <w14:solidFill>
              <w14:schemeClr w14:val="tx1"/>
            </w14:solidFill>
          </w14:textFill>
        </w:rPr>
        <w:t>完善社会</w:t>
      </w:r>
      <w:r>
        <w:rPr>
          <w:rFonts w:hint="eastAsia"/>
          <w:color w:val="000000" w:themeColor="text1"/>
          <w14:textFill>
            <w14:solidFill>
              <w14:schemeClr w14:val="tx1"/>
            </w14:solidFill>
          </w14:textFill>
        </w:rPr>
        <w:t>公共服务体系，提升人民幸福指数</w:t>
      </w:r>
      <w:bookmarkEnd w:id="494"/>
      <w:bookmarkEnd w:id="495"/>
      <w:bookmarkEnd w:id="509"/>
    </w:p>
    <w:p w14:paraId="773E106F">
      <w:pPr>
        <w:adjustRightInd w:val="0"/>
        <w:snapToGrid w:val="0"/>
        <w:spacing w:line="600" w:lineRule="exact"/>
        <w:ind w:firstLine="64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坚持</w:t>
      </w:r>
      <w:r>
        <w:rPr>
          <w:rFonts w:hint="eastAsia"/>
          <w:color w:val="000000" w:themeColor="text1"/>
          <w:lang w:val="en-US" w:eastAsia="zh-CN"/>
          <w14:textFill>
            <w14:solidFill>
              <w14:schemeClr w14:val="tx1"/>
            </w14:solidFill>
          </w14:textFill>
        </w:rPr>
        <w:t>以</w:t>
      </w:r>
      <w:r>
        <w:rPr>
          <w:rFonts w:eastAsia="仿宋_GB2312"/>
          <w:color w:val="000000" w:themeColor="text1"/>
          <w14:textFill>
            <w14:solidFill>
              <w14:schemeClr w14:val="tx1"/>
            </w14:solidFill>
          </w14:textFill>
        </w:rPr>
        <w:t>人民为中心思想，</w:t>
      </w:r>
      <w:r>
        <w:rPr>
          <w:rFonts w:hint="eastAsia" w:eastAsia="仿宋_GB2312"/>
          <w:color w:val="000000" w:themeColor="text1"/>
          <w14:textFill>
            <w14:solidFill>
              <w14:schemeClr w14:val="tx1"/>
            </w14:solidFill>
          </w14:textFill>
        </w:rPr>
        <w:t>持续实施</w:t>
      </w:r>
      <w:r>
        <w:rPr>
          <w:rFonts w:hint="eastAsia"/>
          <w:color w:val="000000" w:themeColor="text1"/>
          <w:lang w:eastAsia="zh-CN"/>
          <w14:textFill>
            <w14:solidFill>
              <w14:schemeClr w14:val="tx1"/>
            </w14:solidFill>
          </w14:textFill>
        </w:rPr>
        <w:t>“</w:t>
      </w:r>
      <w:r>
        <w:rPr>
          <w:rFonts w:eastAsia="仿宋_GB2312"/>
          <w:color w:val="000000" w:themeColor="text1"/>
          <w14:textFill>
            <w14:solidFill>
              <w14:schemeClr w14:val="tx1"/>
            </w14:solidFill>
          </w14:textFill>
        </w:rPr>
        <w:t>幸福宽城行动计划</w:t>
      </w:r>
      <w:r>
        <w:rPr>
          <w:rFonts w:hint="eastAsia"/>
          <w:color w:val="000000" w:themeColor="text1"/>
          <w:lang w:eastAsia="zh-CN"/>
          <w14:textFill>
            <w14:solidFill>
              <w14:schemeClr w14:val="tx1"/>
            </w14:solidFill>
          </w14:textFill>
        </w:rPr>
        <w:t>”</w:t>
      </w:r>
      <w:r>
        <w:rPr>
          <w:rFonts w:eastAsia="仿宋_GB2312"/>
          <w:color w:val="000000" w:themeColor="text1"/>
          <w14:textFill>
            <w14:solidFill>
              <w14:schemeClr w14:val="tx1"/>
            </w14:solidFill>
          </w14:textFill>
        </w:rPr>
        <w:t>，打造人民安居乐业、</w:t>
      </w:r>
      <w:r>
        <w:rPr>
          <w:rFonts w:hint="eastAsia" w:eastAsia="仿宋_GB2312"/>
          <w:color w:val="000000" w:themeColor="text1"/>
          <w14:textFill>
            <w14:solidFill>
              <w14:schemeClr w14:val="tx1"/>
            </w14:solidFill>
          </w14:textFill>
        </w:rPr>
        <w:t>幸福和谐</w:t>
      </w:r>
      <w:r>
        <w:rPr>
          <w:rFonts w:eastAsia="仿宋_GB2312"/>
          <w:color w:val="000000" w:themeColor="text1"/>
          <w14:textFill>
            <w14:solidFill>
              <w14:schemeClr w14:val="tx1"/>
            </w14:solidFill>
          </w14:textFill>
        </w:rPr>
        <w:t>的现代化新宽城。</w:t>
      </w:r>
    </w:p>
    <w:p w14:paraId="4A13B8F6">
      <w:pPr>
        <w:pStyle w:val="3"/>
        <w:spacing w:before="156" w:after="156" w:line="600" w:lineRule="exact"/>
        <w:ind w:firstLine="0" w:firstLineChars="0"/>
        <w:outlineLvl w:val="1"/>
        <w:rPr>
          <w:color w:val="000000" w:themeColor="text1"/>
          <w14:textFill>
            <w14:solidFill>
              <w14:schemeClr w14:val="tx1"/>
            </w14:solidFill>
          </w14:textFill>
        </w:rPr>
      </w:pPr>
      <w:bookmarkStart w:id="510" w:name="_Toc25585"/>
      <w:bookmarkStart w:id="511" w:name="_Toc211154028"/>
      <w:bookmarkStart w:id="512" w:name="_Toc725"/>
      <w:bookmarkStart w:id="513" w:name="_Toc31190"/>
      <w:r>
        <w:rPr>
          <w:rFonts w:hint="eastAsia"/>
          <w:color w:val="000000" w:themeColor="text1"/>
          <w14:textFill>
            <w14:solidFill>
              <w14:schemeClr w14:val="tx1"/>
            </w14:solidFill>
          </w14:textFill>
        </w:rPr>
        <w:t xml:space="preserve">第一节 </w:t>
      </w:r>
      <w:r>
        <w:rPr>
          <w:rFonts w:hint="eastAsia"/>
          <w:color w:val="000000" w:themeColor="text1"/>
          <w:lang w:val="en-US" w:eastAsia="zh-CN"/>
          <w14:textFill>
            <w14:solidFill>
              <w14:schemeClr w14:val="tx1"/>
            </w14:solidFill>
          </w14:textFill>
        </w:rPr>
        <w:t>优化</w:t>
      </w:r>
      <w:r>
        <w:rPr>
          <w:rFonts w:hint="eastAsia"/>
          <w:color w:val="000000" w:themeColor="text1"/>
          <w14:textFill>
            <w14:solidFill>
              <w14:schemeClr w14:val="tx1"/>
            </w14:solidFill>
          </w14:textFill>
        </w:rPr>
        <w:t>公共服务体系</w:t>
      </w:r>
      <w:bookmarkEnd w:id="510"/>
      <w:bookmarkEnd w:id="511"/>
      <w:bookmarkEnd w:id="512"/>
      <w:bookmarkEnd w:id="513"/>
    </w:p>
    <w:p w14:paraId="34A57643">
      <w:pPr>
        <w:spacing w:line="600" w:lineRule="exact"/>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实施就业优先战略</w:t>
      </w:r>
      <w:r>
        <w:rPr>
          <w:rFonts w:hint="eastAsia" w:ascii="仿宋_GB2312" w:hAnsi="仿宋_GB2312" w:eastAsia="仿宋_GB2312" w:cs="仿宋_GB2312"/>
          <w:b/>
          <w:bCs/>
        </w:rPr>
        <w:t>。</w:t>
      </w:r>
      <w:r>
        <w:rPr>
          <w:rFonts w:hint="eastAsia" w:ascii="仿宋_GB2312" w:hAnsi="仿宋_GB2312" w:eastAsia="仿宋_GB2312" w:cs="仿宋_GB2312"/>
          <w:lang w:val="en-US" w:eastAsia="zh-CN"/>
        </w:rPr>
        <w:t>依托</w:t>
      </w:r>
      <w:r>
        <w:rPr>
          <w:rFonts w:hint="eastAsia" w:ascii="仿宋_GB2312" w:hAnsi="仿宋_GB2312" w:eastAsia="仿宋_GB2312" w:cs="仿宋_GB2312"/>
        </w:rPr>
        <w:t>政校企对接</w:t>
      </w:r>
      <w:r>
        <w:rPr>
          <w:rFonts w:hint="eastAsia" w:ascii="仿宋_GB2312" w:hAnsi="仿宋_GB2312" w:eastAsia="仿宋_GB2312" w:cs="仿宋_GB2312"/>
          <w:lang w:eastAsia="zh-CN"/>
        </w:rPr>
        <w:t>、</w:t>
      </w:r>
      <w:r>
        <w:rPr>
          <w:rFonts w:hint="eastAsia" w:ascii="仿宋_GB2312" w:hAnsi="仿宋_GB2312" w:eastAsia="仿宋_GB2312" w:cs="仿宋_GB2312"/>
        </w:rPr>
        <w:t>“春风行动”“零工驿站”</w:t>
      </w:r>
      <w:r>
        <w:rPr>
          <w:rFonts w:hint="eastAsia" w:hAnsi="仿宋_GB2312" w:cs="仿宋_GB2312"/>
          <w:lang w:eastAsia="zh-CN"/>
        </w:rPr>
        <w:t>、</w:t>
      </w:r>
      <w:r>
        <w:rPr>
          <w:rFonts w:hint="eastAsia" w:hAnsi="仿宋_GB2312" w:cs="仿宋_GB2312"/>
          <w:lang w:val="en-US" w:eastAsia="zh-CN"/>
        </w:rPr>
        <w:t>社区岗位开发</w:t>
      </w:r>
      <w:r>
        <w:rPr>
          <w:rFonts w:hint="eastAsia" w:ascii="仿宋_GB2312" w:hAnsi="仿宋_GB2312" w:eastAsia="仿宋_GB2312" w:cs="仿宋_GB2312"/>
          <w:lang w:val="en-US" w:eastAsia="zh-CN"/>
        </w:rPr>
        <w:t>等平台载体，推动</w:t>
      </w:r>
      <w:r>
        <w:rPr>
          <w:rFonts w:hint="eastAsia" w:ascii="仿宋_GB2312" w:hAnsi="仿宋_GB2312" w:eastAsia="仿宋_GB2312" w:cs="仿宋_GB2312"/>
        </w:rPr>
        <w:t>毕业大学生、中年及职业转型群体、失业及困难群体、残疾人及特殊群体</w:t>
      </w:r>
      <w:r>
        <w:rPr>
          <w:rFonts w:hint="eastAsia" w:ascii="仿宋_GB2312" w:hAnsi="仿宋_GB2312" w:eastAsia="仿宋_GB2312" w:cs="仿宋_GB2312"/>
          <w:lang w:val="en-US" w:eastAsia="zh-CN"/>
        </w:rPr>
        <w:t>等重点群体就业。</w:t>
      </w:r>
    </w:p>
    <w:p w14:paraId="30EEFE05">
      <w:pPr>
        <w:spacing w:line="600" w:lineRule="exact"/>
        <w:rPr>
          <w:rFonts w:hint="eastAsia" w:hAnsi="仿宋_GB2312" w:cs="仿宋_GB2312"/>
          <w:lang w:val="en-US" w:eastAsia="zh-CN"/>
        </w:rPr>
      </w:pPr>
      <w:r>
        <w:rPr>
          <w:rFonts w:hint="eastAsia" w:ascii="仿宋_GB2312" w:hAnsi="仿宋_GB2312" w:eastAsia="仿宋_GB2312" w:cs="仿宋_GB2312"/>
          <w:b/>
          <w:bCs/>
          <w:lang w:val="en-US" w:eastAsia="zh-CN"/>
        </w:rPr>
        <w:t>推动教育优质均衡发展。</w:t>
      </w:r>
      <w:r>
        <w:rPr>
          <w:rFonts w:hint="eastAsia" w:ascii="仿宋_GB2312" w:hAnsi="仿宋_GB2312" w:eastAsia="仿宋_GB2312" w:cs="仿宋_GB2312"/>
        </w:rPr>
        <w:t>优化学前教育布局</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强化教研指导，</w:t>
      </w:r>
      <w:r>
        <w:rPr>
          <w:rFonts w:hint="eastAsia" w:ascii="仿宋_GB2312" w:hAnsi="仿宋_GB2312" w:eastAsia="仿宋_GB2312" w:cs="仿宋_GB2312"/>
        </w:rPr>
        <w:t>推动构建“普及普惠、优质安全”</w:t>
      </w:r>
      <w:r>
        <w:rPr>
          <w:rFonts w:hint="eastAsia" w:ascii="仿宋_GB2312" w:hAnsi="仿宋_GB2312" w:eastAsia="仿宋_GB2312" w:cs="仿宋_GB2312"/>
          <w:lang w:val="en-US" w:eastAsia="zh-CN"/>
        </w:rPr>
        <w:t>的</w:t>
      </w:r>
      <w:r>
        <w:rPr>
          <w:rFonts w:hint="eastAsia" w:ascii="仿宋_GB2312" w:hAnsi="仿宋_GB2312" w:eastAsia="仿宋_GB2312" w:cs="仿宋_GB2312"/>
        </w:rPr>
        <w:t>学前教育支撑体系。</w:t>
      </w:r>
      <w:r>
        <w:rPr>
          <w:rFonts w:hint="eastAsia" w:ascii="仿宋_GB2312" w:hAnsi="仿宋_GB2312" w:eastAsia="仿宋_GB2312" w:cs="仿宋_GB2312"/>
          <w:lang w:val="en-US" w:eastAsia="zh-CN"/>
        </w:rPr>
        <w:t>吸引</w:t>
      </w:r>
      <w:r>
        <w:rPr>
          <w:rFonts w:hint="eastAsia" w:ascii="仿宋_GB2312" w:hAnsi="仿宋_GB2312" w:eastAsia="仿宋_GB2312" w:cs="仿宋_GB2312"/>
        </w:rPr>
        <w:t>市内名校</w:t>
      </w:r>
      <w:r>
        <w:rPr>
          <w:rFonts w:hint="eastAsia" w:ascii="仿宋_GB2312" w:hAnsi="仿宋_GB2312" w:eastAsia="仿宋_GB2312" w:cs="仿宋_GB2312"/>
          <w:lang w:val="en-US" w:eastAsia="zh-CN"/>
        </w:rPr>
        <w:t>进驻，</w:t>
      </w:r>
      <w:r>
        <w:rPr>
          <w:rFonts w:hint="eastAsia" w:hAnsi="仿宋_GB2312" w:cs="仿宋_GB2312"/>
          <w:lang w:val="en-US" w:eastAsia="zh-CN"/>
        </w:rPr>
        <w:t>增强</w:t>
      </w:r>
      <w:r>
        <w:rPr>
          <w:rFonts w:hint="eastAsia" w:ascii="仿宋_GB2312" w:hAnsi="仿宋_GB2312" w:eastAsia="仿宋_GB2312" w:cs="仿宋_GB2312"/>
        </w:rPr>
        <w:t>优质资源</w:t>
      </w:r>
      <w:r>
        <w:rPr>
          <w:rFonts w:hint="eastAsia" w:hAnsi="仿宋_GB2312" w:cs="仿宋_GB2312"/>
          <w:lang w:val="en-US" w:eastAsia="zh-CN"/>
        </w:rPr>
        <w:t>供给</w:t>
      </w:r>
      <w:r>
        <w:rPr>
          <w:rFonts w:hint="eastAsia" w:ascii="仿宋_GB2312" w:hAnsi="仿宋_GB2312" w:eastAsia="仿宋_GB2312" w:cs="仿宋_GB2312"/>
        </w:rPr>
        <w:t>。充分发挥区校两级资源</w:t>
      </w:r>
      <w:r>
        <w:rPr>
          <w:rFonts w:hint="eastAsia" w:hAnsi="仿宋_GB2312" w:cs="仿宋_GB2312"/>
          <w:lang w:eastAsia="zh-CN"/>
        </w:rPr>
        <w:t>，</w:t>
      </w:r>
      <w:r>
        <w:rPr>
          <w:rFonts w:hint="eastAsia" w:hAnsi="仿宋_GB2312" w:cs="仿宋_GB2312"/>
          <w:lang w:val="en-US" w:eastAsia="zh-CN"/>
        </w:rPr>
        <w:t>促进幼儿教育、中职教育、民族教育</w:t>
      </w:r>
      <w:r>
        <w:rPr>
          <w:rFonts w:hint="eastAsia" w:hAnsi="仿宋_GB2312" w:cs="仿宋_GB2312"/>
          <w:lang w:eastAsia="zh-CN"/>
        </w:rPr>
        <w:t>、</w:t>
      </w:r>
      <w:r>
        <w:rPr>
          <w:rFonts w:hint="eastAsia" w:ascii="仿宋_GB2312" w:hAnsi="仿宋_GB2312" w:eastAsia="仿宋_GB2312" w:cs="仿宋_GB2312"/>
        </w:rPr>
        <w:t>特殊教育</w:t>
      </w:r>
      <w:r>
        <w:rPr>
          <w:rFonts w:hint="eastAsia" w:hAnsi="仿宋_GB2312" w:cs="仿宋_GB2312"/>
          <w:lang w:val="en-US" w:eastAsia="zh-CN"/>
        </w:rPr>
        <w:t>等事业发展。</w:t>
      </w:r>
    </w:p>
    <w:p w14:paraId="07F25DA4">
      <w:pPr>
        <w:spacing w:line="600" w:lineRule="exact"/>
        <w:rPr>
          <w:rFonts w:hint="eastAsia" w:ascii="仿宋_GB2312" w:hAnsi="仿宋_GB2312" w:eastAsia="仿宋_GB2312" w:cs="仿宋_GB2312"/>
        </w:rPr>
      </w:pPr>
      <w:r>
        <w:rPr>
          <w:rFonts w:hint="eastAsia" w:ascii="仿宋_GB2312" w:hAnsi="仿宋_GB2312" w:eastAsia="仿宋_GB2312" w:cs="仿宋_GB2312"/>
          <w:b/>
          <w:bCs/>
          <w:lang w:val="en-US" w:eastAsia="zh-CN"/>
        </w:rPr>
        <w:t>推动医疗卫生服务提质升级。</w:t>
      </w:r>
      <w:r>
        <w:rPr>
          <w:rFonts w:hint="eastAsia" w:ascii="仿宋_GB2312" w:hAnsi="仿宋_GB2312" w:eastAsia="仿宋_GB2312" w:cs="仿宋_GB2312"/>
          <w:lang w:val="en-US" w:eastAsia="zh-CN"/>
        </w:rPr>
        <w:t>整合医疗系统优质资源，</w:t>
      </w:r>
      <w:r>
        <w:rPr>
          <w:rFonts w:hint="eastAsia" w:ascii="仿宋_GB2312" w:hAnsi="仿宋_GB2312" w:eastAsia="仿宋_GB2312" w:cs="仿宋_GB2312"/>
        </w:rPr>
        <w:t>加快医共体建设。加强专科</w:t>
      </w:r>
      <w:r>
        <w:rPr>
          <w:rFonts w:hint="eastAsia" w:ascii="仿宋_GB2312" w:hAnsi="仿宋_GB2312" w:eastAsia="仿宋_GB2312" w:cs="仿宋_GB2312"/>
          <w:lang w:val="en-US" w:eastAsia="zh-CN"/>
        </w:rPr>
        <w:t>诊疗</w:t>
      </w:r>
      <w:r>
        <w:rPr>
          <w:rFonts w:hint="eastAsia" w:ascii="仿宋_GB2312" w:hAnsi="仿宋_GB2312" w:eastAsia="仿宋_GB2312" w:cs="仿宋_GB2312"/>
        </w:rPr>
        <w:t>水平，推进区医院</w:t>
      </w:r>
      <w:r>
        <w:rPr>
          <w:rFonts w:hint="eastAsia" w:hAnsi="仿宋_GB2312" w:cs="仿宋_GB2312"/>
          <w:lang w:eastAsia="zh-CN"/>
        </w:rPr>
        <w:t>“</w:t>
      </w:r>
      <w:r>
        <w:rPr>
          <w:rFonts w:hint="eastAsia" w:hAnsi="仿宋_GB2312" w:cs="仿宋_GB2312"/>
          <w:lang w:val="en-US" w:eastAsia="zh-CN"/>
        </w:rPr>
        <w:t>智慧医院</w:t>
      </w:r>
      <w:r>
        <w:rPr>
          <w:rFonts w:hint="eastAsia" w:hAnsi="仿宋_GB2312" w:cs="仿宋_GB2312"/>
          <w:lang w:eastAsia="zh-CN"/>
        </w:rPr>
        <w:t>”</w:t>
      </w:r>
      <w:r>
        <w:rPr>
          <w:rFonts w:hint="eastAsia" w:hAnsi="仿宋_GB2312" w:cs="仿宋_GB2312"/>
          <w:lang w:val="en-US" w:eastAsia="zh-CN"/>
        </w:rPr>
        <w:t>建设</w:t>
      </w:r>
      <w:r>
        <w:rPr>
          <w:rFonts w:hint="eastAsia" w:ascii="仿宋_GB2312" w:hAnsi="仿宋_GB2312" w:eastAsia="仿宋_GB2312" w:cs="仿宋_GB2312"/>
        </w:rPr>
        <w:t>，</w:t>
      </w:r>
      <w:r>
        <w:rPr>
          <w:rFonts w:hint="eastAsia" w:hAnsi="仿宋_GB2312" w:cs="仿宋_GB2312"/>
          <w:lang w:val="en-US" w:eastAsia="zh-CN"/>
        </w:rPr>
        <w:t>推动</w:t>
      </w:r>
      <w:r>
        <w:rPr>
          <w:rFonts w:hint="eastAsia" w:ascii="仿宋_GB2312" w:hAnsi="仿宋_GB2312" w:eastAsia="仿宋_GB2312" w:cs="仿宋_GB2312"/>
        </w:rPr>
        <w:t>区中医院中医针灸骨伤“专精化、差异化”发展。</w:t>
      </w:r>
    </w:p>
    <w:p w14:paraId="6D99FFD9">
      <w:pPr>
        <w:spacing w:line="600" w:lineRule="exact"/>
        <w:rPr>
          <w:rFonts w:hint="eastAsia" w:ascii="仿宋_GB2312" w:eastAsia="仿宋_GB2312"/>
        </w:rPr>
      </w:pPr>
      <w:r>
        <w:rPr>
          <w:rFonts w:hint="eastAsia" w:ascii="仿宋_GB2312" w:eastAsia="仿宋_GB2312"/>
          <w:b/>
          <w:bCs/>
          <w:lang w:val="en-US" w:eastAsia="zh-CN"/>
        </w:rPr>
        <w:t>促进体育事业蓬勃发展。</w:t>
      </w:r>
      <w:r>
        <w:rPr>
          <w:rFonts w:hint="eastAsia" w:ascii="仿宋_GB2312" w:eastAsia="仿宋_GB2312"/>
          <w:b w:val="0"/>
          <w:bCs w:val="0"/>
          <w:lang w:val="en-US" w:eastAsia="zh-CN"/>
        </w:rPr>
        <w:t>多元化</w:t>
      </w:r>
      <w:r>
        <w:rPr>
          <w:rFonts w:hint="eastAsia"/>
          <w:b w:val="0"/>
          <w:bCs w:val="0"/>
          <w:lang w:val="en-US" w:eastAsia="zh-CN"/>
        </w:rPr>
        <w:t>利用</w:t>
      </w:r>
      <w:r>
        <w:rPr>
          <w:rFonts w:hint="eastAsia" w:ascii="仿宋_GB2312" w:eastAsia="仿宋_GB2312"/>
          <w:b w:val="0"/>
          <w:bCs w:val="0"/>
          <w:lang w:val="en-US" w:eastAsia="zh-CN"/>
        </w:rPr>
        <w:t>体育健身场地（所），</w:t>
      </w:r>
      <w:r>
        <w:rPr>
          <w:rFonts w:hint="eastAsia" w:ascii="仿宋_GB2312" w:eastAsia="仿宋_GB2312"/>
        </w:rPr>
        <w:t>全力构建“全龄友好、多元融合”的社区健身服务体系。</w:t>
      </w:r>
      <w:r>
        <w:rPr>
          <w:rFonts w:hint="eastAsia" w:ascii="仿宋_GB2312" w:eastAsia="仿宋_GB2312"/>
          <w:lang w:val="en-US" w:eastAsia="zh-CN"/>
        </w:rPr>
        <w:t>借助学校、公园、广场等健身场地，</w:t>
      </w:r>
      <w:r>
        <w:rPr>
          <w:rFonts w:hint="eastAsia" w:ascii="仿宋_GB2312" w:eastAsia="仿宋_GB2312"/>
        </w:rPr>
        <w:t>广泛开展全民健身</w:t>
      </w:r>
      <w:r>
        <w:rPr>
          <w:rFonts w:hint="eastAsia"/>
          <w:lang w:val="en-US" w:eastAsia="zh-CN"/>
        </w:rPr>
        <w:t>日等群众性</w:t>
      </w:r>
      <w:r>
        <w:rPr>
          <w:rFonts w:hint="eastAsia" w:ascii="仿宋_GB2312" w:eastAsia="仿宋_GB2312"/>
        </w:rPr>
        <w:t>活动。</w:t>
      </w:r>
    </w:p>
    <w:p w14:paraId="2C6B0901">
      <w:pPr>
        <w:spacing w:line="600" w:lineRule="exact"/>
        <w:rPr>
          <w:rFonts w:hint="eastAsia" w:ascii="仿宋_GB2312" w:eastAsia="仿宋_GB2312"/>
          <w:lang w:eastAsia="zh-CN"/>
        </w:rPr>
      </w:pPr>
      <w:r>
        <w:rPr>
          <w:rFonts w:hint="eastAsia" w:ascii="仿宋_GB2312" w:eastAsia="仿宋_GB2312"/>
          <w:b/>
          <w:bCs/>
          <w:lang w:val="en-US" w:eastAsia="zh-CN"/>
        </w:rPr>
        <w:t>积极应对人口老龄化。</w:t>
      </w:r>
      <w:r>
        <w:rPr>
          <w:rFonts w:hint="eastAsia" w:ascii="仿宋_GB2312" w:eastAsia="仿宋_GB2312"/>
        </w:rPr>
        <w:t>加快</w:t>
      </w:r>
      <w:r>
        <w:rPr>
          <w:rFonts w:hint="eastAsia" w:ascii="仿宋_GB2312" w:eastAsia="仿宋_GB2312"/>
          <w:lang w:val="en-US" w:eastAsia="zh-CN"/>
        </w:rPr>
        <w:t>构建</w:t>
      </w:r>
      <w:r>
        <w:rPr>
          <w:rFonts w:hint="eastAsia" w:ascii="仿宋_GB2312" w:eastAsia="仿宋_GB2312"/>
        </w:rPr>
        <w:t>三级养老服务</w:t>
      </w:r>
      <w:r>
        <w:rPr>
          <w:rFonts w:hint="eastAsia" w:ascii="仿宋_GB2312" w:eastAsia="仿宋_GB2312"/>
          <w:lang w:val="en-US" w:eastAsia="zh-CN"/>
        </w:rPr>
        <w:t>体系</w:t>
      </w:r>
      <w:r>
        <w:rPr>
          <w:rFonts w:hint="eastAsia" w:ascii="仿宋_GB2312" w:eastAsia="仿宋_GB2312"/>
          <w:lang w:eastAsia="zh-CN"/>
        </w:rPr>
        <w:t>，</w:t>
      </w:r>
      <w:r>
        <w:rPr>
          <w:rFonts w:hint="eastAsia" w:ascii="仿宋_GB2312" w:eastAsia="仿宋_GB2312"/>
          <w:lang w:val="en-US" w:eastAsia="zh-CN"/>
        </w:rPr>
        <w:t>建立健全各级养老机构，</w:t>
      </w:r>
      <w:r>
        <w:rPr>
          <w:rFonts w:hint="eastAsia" w:ascii="仿宋_GB2312" w:eastAsia="仿宋_GB2312"/>
          <w:b w:val="0"/>
          <w:bCs w:val="0"/>
        </w:rPr>
        <w:t>发展居家养老服务</w:t>
      </w:r>
      <w:r>
        <w:rPr>
          <w:rFonts w:hint="eastAsia" w:ascii="仿宋_GB2312" w:eastAsia="仿宋_GB2312"/>
          <w:b w:val="0"/>
          <w:bCs w:val="0"/>
          <w:lang w:eastAsia="zh-CN"/>
        </w:rPr>
        <w:t>，</w:t>
      </w:r>
      <w:r>
        <w:rPr>
          <w:rFonts w:hint="eastAsia" w:ascii="仿宋_GB2312" w:eastAsia="仿宋_GB2312"/>
          <w:b w:val="0"/>
          <w:bCs w:val="0"/>
        </w:rPr>
        <w:t>拓展社区养老服务</w:t>
      </w:r>
      <w:r>
        <w:rPr>
          <w:rFonts w:hint="eastAsia" w:ascii="仿宋_GB2312" w:eastAsia="仿宋_GB2312"/>
          <w:b w:val="0"/>
          <w:bCs w:val="0"/>
          <w:lang w:eastAsia="zh-CN"/>
        </w:rPr>
        <w:t>，</w:t>
      </w:r>
      <w:r>
        <w:rPr>
          <w:rFonts w:hint="eastAsia" w:ascii="仿宋_GB2312" w:eastAsia="仿宋_GB2312"/>
        </w:rPr>
        <w:t>构建“</w:t>
      </w:r>
      <w:r>
        <w:rPr>
          <w:rFonts w:hint="eastAsia"/>
          <w:lang w:val="en-US" w:eastAsia="zh-CN"/>
        </w:rPr>
        <w:t>15</w:t>
      </w:r>
      <w:r>
        <w:rPr>
          <w:rFonts w:hint="eastAsia" w:ascii="仿宋_GB2312" w:eastAsia="仿宋_GB2312"/>
        </w:rPr>
        <w:t>分钟”养老服务圈</w:t>
      </w:r>
      <w:r>
        <w:rPr>
          <w:rFonts w:hint="eastAsia" w:ascii="仿宋_GB2312" w:eastAsia="仿宋_GB2312"/>
          <w:lang w:eastAsia="zh-CN"/>
        </w:rPr>
        <w:t>。</w:t>
      </w:r>
      <w:bookmarkStart w:id="514" w:name="_Toc2471"/>
    </w:p>
    <w:p w14:paraId="197430AD">
      <w:pPr>
        <w:spacing w:line="600" w:lineRule="exact"/>
        <w:rPr>
          <w:rFonts w:hint="eastAsia" w:ascii="仿宋_GB2312" w:eastAsia="仿宋_GB2312"/>
          <w:color w:val="000000" w:themeColor="text1"/>
          <w14:textFill>
            <w14:solidFill>
              <w14:schemeClr w14:val="tx1"/>
            </w14:solidFill>
          </w14:textFill>
        </w:rPr>
      </w:pPr>
      <w:r>
        <w:rPr>
          <w:rFonts w:hint="eastAsia" w:ascii="仿宋_GB2312" w:eastAsia="仿宋_GB2312"/>
          <w:b/>
          <w:bCs/>
        </w:rPr>
        <w:t>推动公共事业</w:t>
      </w:r>
      <w:r>
        <w:rPr>
          <w:rFonts w:hint="eastAsia" w:ascii="仿宋_GB2312" w:eastAsia="仿宋_GB2312"/>
          <w:b/>
          <w:bCs/>
          <w:lang w:val="en-US" w:eastAsia="zh-CN"/>
        </w:rPr>
        <w:t>全面发展</w:t>
      </w:r>
      <w:r>
        <w:rPr>
          <w:rFonts w:hint="eastAsia" w:ascii="仿宋_GB2312" w:eastAsia="仿宋_GB2312"/>
          <w:b/>
          <w:bCs/>
        </w:rPr>
        <w:t>。</w:t>
      </w:r>
      <w:r>
        <w:rPr>
          <w:rFonts w:hint="eastAsia" w:ascii="仿宋_GB2312" w:eastAsia="仿宋_GB2312"/>
          <w:b w:val="0"/>
          <w:bCs w:val="0"/>
        </w:rPr>
        <w:t>支持妇女儿童事业</w:t>
      </w:r>
      <w:bookmarkEnd w:id="514"/>
      <w:r>
        <w:rPr>
          <w:rFonts w:hint="eastAsia" w:ascii="仿宋_GB2312" w:eastAsia="仿宋_GB2312"/>
          <w:b w:val="0"/>
          <w:bCs w:val="0"/>
          <w:lang w:eastAsia="zh-CN"/>
        </w:rPr>
        <w:t>，</w:t>
      </w:r>
      <w:r>
        <w:rPr>
          <w:rFonts w:hint="eastAsia" w:ascii="仿宋_GB2312" w:eastAsia="仿宋_GB2312"/>
        </w:rPr>
        <w:t>有效保障妇女儿童权益。持续</w:t>
      </w:r>
      <w:r>
        <w:rPr>
          <w:rFonts w:hint="eastAsia"/>
          <w:lang w:val="en-US" w:eastAsia="zh-CN"/>
        </w:rPr>
        <w:t>加强</w:t>
      </w:r>
      <w:r>
        <w:rPr>
          <w:rFonts w:hint="eastAsia" w:ascii="仿宋_GB2312" w:eastAsia="仿宋_GB2312"/>
        </w:rPr>
        <w:t>“青年之家”阵地建设，完善青年就业公共服务体系</w:t>
      </w:r>
      <w:r>
        <w:rPr>
          <w:rFonts w:hint="eastAsia"/>
          <w:lang w:eastAsia="zh-CN"/>
        </w:rPr>
        <w:t>。</w:t>
      </w:r>
      <w:r>
        <w:rPr>
          <w:rFonts w:hint="eastAsia" w:ascii="仿宋_GB2312" w:eastAsia="仿宋_GB2312"/>
        </w:rPr>
        <w:t>统筹优化退役军人及军属服务，深化双拥工作。</w:t>
      </w:r>
      <w:r>
        <w:rPr>
          <w:rFonts w:hint="eastAsia" w:ascii="仿宋_GB2312" w:eastAsia="仿宋_GB2312"/>
          <w:lang w:val="en-US" w:eastAsia="zh-CN"/>
        </w:rPr>
        <w:t>推动档案规范化管理，</w:t>
      </w:r>
      <w:r>
        <w:rPr>
          <w:rFonts w:hint="eastAsia"/>
          <w:lang w:val="en-US" w:eastAsia="zh-CN"/>
        </w:rPr>
        <w:t>做好地方志、侨联、</w:t>
      </w:r>
      <w:r>
        <w:rPr>
          <w:rFonts w:hint="eastAsia" w:ascii="仿宋_GB2312" w:eastAsia="仿宋_GB2312"/>
        </w:rPr>
        <w:t>民族宗教等工作</w:t>
      </w:r>
      <w:r>
        <w:rPr>
          <w:rFonts w:hint="eastAsia" w:ascii="仿宋_GB2312" w:eastAsia="仿宋_GB2312"/>
          <w:color w:val="000000" w:themeColor="text1"/>
          <w14:textFill>
            <w14:solidFill>
              <w14:schemeClr w14:val="tx1"/>
            </w14:solidFill>
          </w14:textFill>
        </w:rPr>
        <w:t>。</w:t>
      </w:r>
    </w:p>
    <w:p w14:paraId="2F740C9A">
      <w:pPr>
        <w:pStyle w:val="3"/>
        <w:spacing w:before="156" w:after="156" w:line="600" w:lineRule="exact"/>
        <w:ind w:firstLine="0" w:firstLineChars="0"/>
        <w:outlineLvl w:val="1"/>
        <w:rPr>
          <w:color w:val="000000" w:themeColor="text1"/>
          <w14:textFill>
            <w14:solidFill>
              <w14:schemeClr w14:val="tx1"/>
            </w14:solidFill>
          </w14:textFill>
        </w:rPr>
      </w:pPr>
      <w:bookmarkStart w:id="515" w:name="_Toc211154029"/>
      <w:bookmarkStart w:id="516" w:name="_Toc30079"/>
      <w:bookmarkStart w:id="517" w:name="_Toc30033"/>
      <w:bookmarkStart w:id="518" w:name="_Toc2045"/>
      <w:r>
        <w:rPr>
          <w:rFonts w:hint="eastAsia"/>
          <w:color w:val="000000" w:themeColor="text1"/>
          <w14:textFill>
            <w14:solidFill>
              <w14:schemeClr w14:val="tx1"/>
            </w14:solidFill>
          </w14:textFill>
        </w:rPr>
        <w:t xml:space="preserve">第二节 </w:t>
      </w:r>
      <w:r>
        <w:rPr>
          <w:rFonts w:hint="eastAsia"/>
          <w:color w:val="000000" w:themeColor="text1"/>
          <w:lang w:val="en-US" w:eastAsia="zh-CN"/>
          <w14:textFill>
            <w14:solidFill>
              <w14:schemeClr w14:val="tx1"/>
            </w14:solidFill>
          </w14:textFill>
        </w:rPr>
        <w:t>健全</w:t>
      </w:r>
      <w:r>
        <w:rPr>
          <w:rFonts w:hint="eastAsia"/>
          <w:color w:val="000000" w:themeColor="text1"/>
          <w14:textFill>
            <w14:solidFill>
              <w14:schemeClr w14:val="tx1"/>
            </w14:solidFill>
          </w14:textFill>
        </w:rPr>
        <w:t>社会保障体系</w:t>
      </w:r>
      <w:bookmarkEnd w:id="515"/>
      <w:bookmarkEnd w:id="516"/>
      <w:bookmarkEnd w:id="517"/>
      <w:bookmarkEnd w:id="518"/>
    </w:p>
    <w:p w14:paraId="4D2E54AE">
      <w:pPr>
        <w:spacing w:line="600" w:lineRule="exact"/>
        <w:rPr>
          <w:rFonts w:hint="eastAsia" w:ascii="仿宋_GB2312" w:eastAsia="仿宋_GB2312"/>
        </w:rPr>
      </w:pPr>
      <w:r>
        <w:rPr>
          <w:rFonts w:hint="eastAsia" w:ascii="仿宋_GB2312" w:eastAsia="仿宋_GB2312"/>
          <w:b/>
          <w:bCs/>
          <w:lang w:val="en-US" w:eastAsia="zh-CN"/>
        </w:rPr>
        <w:t>健全</w:t>
      </w:r>
      <w:r>
        <w:rPr>
          <w:rFonts w:hint="eastAsia" w:ascii="仿宋_GB2312" w:eastAsia="仿宋_GB2312"/>
          <w:b/>
          <w:bCs/>
        </w:rPr>
        <w:t>社会保险体系。</w:t>
      </w:r>
      <w:r>
        <w:rPr>
          <w:rFonts w:hint="eastAsia" w:ascii="仿宋_GB2312" w:eastAsia="仿宋_GB2312"/>
        </w:rPr>
        <w:t>推进基本养老保险全国统筹衔接，落实灵活就业人员参保政策，逐步实现失地农民养老保险应保尽保。完善医保支付方式改革，推动门诊共济保障机制落地，扩大异地就医直接结算范围。</w:t>
      </w:r>
    </w:p>
    <w:p w14:paraId="66851FB7">
      <w:pPr>
        <w:spacing w:line="600" w:lineRule="exact"/>
        <w:rPr>
          <w:rFonts w:hint="eastAsia" w:ascii="仿宋_GB2312" w:eastAsia="仿宋_GB2312"/>
          <w:color w:val="000000"/>
          <w:spacing w:val="3"/>
          <w:kern w:val="0"/>
          <w:lang w:bidi="ar"/>
        </w:rPr>
      </w:pPr>
      <w:r>
        <w:rPr>
          <w:rFonts w:hint="eastAsia" w:ascii="仿宋_GB2312" w:eastAsia="仿宋_GB2312"/>
          <w:b/>
          <w:bCs/>
        </w:rPr>
        <w:t>提升社会救助服务水平。</w:t>
      </w:r>
      <w:r>
        <w:rPr>
          <w:rFonts w:hint="eastAsia" w:ascii="仿宋_GB2312" w:eastAsia="仿宋_GB2312"/>
          <w:color w:val="000000"/>
          <w:spacing w:val="3"/>
          <w:kern w:val="0"/>
          <w:lang w:bidi="ar"/>
        </w:rPr>
        <w:t>加强低收入群体动态监测，完善多部门信息共享</w:t>
      </w:r>
      <w:r>
        <w:rPr>
          <w:rFonts w:hint="eastAsia" w:ascii="仿宋_GB2312" w:eastAsia="仿宋_GB2312"/>
        </w:rPr>
        <w:t>。</w:t>
      </w:r>
      <w:r>
        <w:rPr>
          <w:rFonts w:hint="eastAsia" w:ascii="仿宋_GB2312" w:eastAsia="仿宋_GB2312"/>
          <w:color w:val="000000"/>
          <w:spacing w:val="3"/>
          <w:kern w:val="0"/>
          <w:lang w:bidi="ar"/>
        </w:rPr>
        <w:t>做好分层分类救助服务，加强基层救助工作队伍建设，</w:t>
      </w:r>
      <w:r>
        <w:rPr>
          <w:rFonts w:hint="eastAsia" w:ascii="仿宋_GB2312" w:eastAsia="仿宋_GB2312"/>
          <w:color w:val="000000"/>
          <w:spacing w:val="3"/>
          <w:kern w:val="0"/>
          <w:lang w:val="en-US" w:eastAsia="zh-CN" w:bidi="ar"/>
        </w:rPr>
        <w:t>提升工作实效</w:t>
      </w:r>
      <w:r>
        <w:rPr>
          <w:rFonts w:hint="eastAsia" w:ascii="仿宋_GB2312" w:eastAsia="仿宋_GB2312"/>
          <w:color w:val="000000"/>
          <w:spacing w:val="3"/>
          <w:kern w:val="0"/>
          <w:lang w:bidi="ar"/>
        </w:rPr>
        <w:t>。</w:t>
      </w:r>
      <w:bookmarkStart w:id="519" w:name="_Toc31489"/>
    </w:p>
    <w:p w14:paraId="7724984B">
      <w:pPr>
        <w:spacing w:line="600" w:lineRule="exact"/>
        <w:rPr>
          <w:rFonts w:ascii="仿宋_GB2312" w:eastAsia="仿宋_GB2312"/>
          <w:color w:val="000000" w:themeColor="text1"/>
          <w:spacing w:val="3"/>
          <w:kern w:val="0"/>
          <w:lang w:bidi="ar"/>
          <w14:textFill>
            <w14:solidFill>
              <w14:schemeClr w14:val="tx1"/>
            </w14:solidFill>
          </w14:textFill>
        </w:rPr>
      </w:pPr>
      <w:r>
        <w:rPr>
          <w:rFonts w:hint="eastAsia" w:ascii="仿宋_GB2312" w:eastAsia="仿宋_GB2312"/>
          <w:b/>
          <w:bCs/>
        </w:rPr>
        <w:t>提升社会福利</w:t>
      </w:r>
      <w:bookmarkEnd w:id="519"/>
      <w:r>
        <w:rPr>
          <w:rFonts w:hint="eastAsia" w:ascii="仿宋_GB2312" w:eastAsia="仿宋_GB2312"/>
          <w:b/>
          <w:bCs/>
          <w:lang w:val="en-US" w:eastAsia="zh-CN"/>
        </w:rPr>
        <w:t>水平</w:t>
      </w:r>
      <w:r>
        <w:rPr>
          <w:rFonts w:hint="eastAsia" w:ascii="仿宋_GB2312" w:eastAsia="仿宋_GB2312"/>
          <w:b/>
          <w:bCs/>
        </w:rPr>
        <w:t>。</w:t>
      </w:r>
      <w:r>
        <w:rPr>
          <w:rFonts w:hint="eastAsia" w:ascii="仿宋_GB2312" w:eastAsia="仿宋_GB2312"/>
          <w:color w:val="000000"/>
          <w:spacing w:val="3"/>
          <w:kern w:val="0"/>
          <w:lang w:bidi="ar"/>
        </w:rPr>
        <w:t>完善</w:t>
      </w:r>
      <w:r>
        <w:rPr>
          <w:rFonts w:hint="eastAsia" w:ascii="仿宋_GB2312" w:eastAsia="仿宋_GB2312"/>
          <w:color w:val="000000"/>
          <w:spacing w:val="3"/>
          <w:kern w:val="0"/>
          <w:lang w:val="en-US" w:eastAsia="zh-CN" w:bidi="ar"/>
        </w:rPr>
        <w:t>孤儿、空巢老人</w:t>
      </w:r>
      <w:r>
        <w:rPr>
          <w:rFonts w:hint="eastAsia" w:ascii="仿宋_GB2312" w:eastAsia="仿宋_GB2312"/>
          <w:color w:val="000000"/>
          <w:spacing w:val="3"/>
          <w:kern w:val="0"/>
          <w:lang w:bidi="ar"/>
        </w:rPr>
        <w:t>等重点群体服务供给</w:t>
      </w:r>
      <w:r>
        <w:rPr>
          <w:rFonts w:hint="eastAsia"/>
          <w:color w:val="000000"/>
          <w:spacing w:val="3"/>
          <w:kern w:val="0"/>
          <w:lang w:eastAsia="zh-CN" w:bidi="ar"/>
        </w:rPr>
        <w:t>，</w:t>
      </w:r>
      <w:r>
        <w:rPr>
          <w:rFonts w:hint="eastAsia" w:ascii="仿宋_GB2312" w:eastAsia="仿宋_GB2312"/>
          <w:color w:val="000000"/>
          <w:spacing w:val="3"/>
          <w:kern w:val="0"/>
          <w:lang w:bidi="ar"/>
        </w:rPr>
        <w:t>提升残疾人保障和发展能力</w:t>
      </w:r>
      <w:r>
        <w:rPr>
          <w:rFonts w:hint="eastAsia" w:ascii="仿宋_GB2312" w:eastAsia="仿宋_GB2312"/>
          <w:color w:val="000000"/>
          <w:spacing w:val="3"/>
          <w:kern w:val="0"/>
          <w:lang w:eastAsia="zh-CN" w:bidi="ar"/>
        </w:rPr>
        <w:t>，</w:t>
      </w:r>
      <w:r>
        <w:rPr>
          <w:rFonts w:hint="eastAsia"/>
          <w:color w:val="000000"/>
          <w:spacing w:val="3"/>
          <w:kern w:val="0"/>
          <w:lang w:val="en-US" w:eastAsia="zh-CN" w:bidi="ar"/>
        </w:rPr>
        <w:t>加强</w:t>
      </w:r>
      <w:r>
        <w:rPr>
          <w:rFonts w:hint="eastAsia" w:ascii="仿宋_GB2312" w:eastAsia="仿宋_GB2312"/>
          <w:color w:val="000000"/>
          <w:spacing w:val="3"/>
          <w:kern w:val="0"/>
          <w:lang w:val="en-US" w:eastAsia="zh-CN" w:bidi="ar"/>
        </w:rPr>
        <w:t>社区服务设施和康复</w:t>
      </w:r>
      <w:r>
        <w:rPr>
          <w:rFonts w:hint="eastAsia" w:ascii="仿宋_GB2312" w:eastAsia="仿宋_GB2312"/>
          <w:color w:val="000000"/>
          <w:spacing w:val="3"/>
          <w:kern w:val="0"/>
          <w:lang w:bidi="ar"/>
        </w:rPr>
        <w:t>能力建设，提升困难残疾人家庭生存发展能力</w:t>
      </w:r>
      <w:r>
        <w:rPr>
          <w:rFonts w:hint="eastAsia" w:ascii="仿宋_GB2312" w:eastAsia="仿宋_GB2312"/>
          <w:color w:val="000000" w:themeColor="text1"/>
          <w:spacing w:val="3"/>
          <w:kern w:val="0"/>
          <w:lang w:bidi="ar"/>
          <w14:textFill>
            <w14:solidFill>
              <w14:schemeClr w14:val="tx1"/>
            </w14:solidFill>
          </w14:textFill>
        </w:rPr>
        <w:t>。</w:t>
      </w:r>
    </w:p>
    <w:p w14:paraId="61989B84">
      <w:pPr>
        <w:pStyle w:val="3"/>
        <w:spacing w:before="156" w:after="156" w:line="600" w:lineRule="exact"/>
        <w:ind w:firstLine="0" w:firstLineChars="0"/>
        <w:outlineLvl w:val="1"/>
        <w:rPr>
          <w:rFonts w:hint="default" w:eastAsia="楷体"/>
          <w:color w:val="000000" w:themeColor="text1"/>
          <w:lang w:val="en-US" w:eastAsia="zh-CN"/>
          <w14:textFill>
            <w14:solidFill>
              <w14:schemeClr w14:val="tx1"/>
            </w14:solidFill>
          </w14:textFill>
        </w:rPr>
      </w:pPr>
      <w:bookmarkStart w:id="520" w:name="_Toc211154030"/>
      <w:bookmarkStart w:id="521" w:name="_Toc1132"/>
      <w:bookmarkStart w:id="522" w:name="_Toc20755"/>
      <w:bookmarkStart w:id="523" w:name="_Toc13758"/>
      <w:r>
        <w:rPr>
          <w:rFonts w:hint="eastAsia"/>
          <w:color w:val="000000" w:themeColor="text1"/>
          <w14:textFill>
            <w14:solidFill>
              <w14:schemeClr w14:val="tx1"/>
            </w14:solidFill>
          </w14:textFill>
        </w:rPr>
        <w:t xml:space="preserve">第三节 </w:t>
      </w:r>
      <w:bookmarkEnd w:id="520"/>
      <w:bookmarkEnd w:id="521"/>
      <w:r>
        <w:rPr>
          <w:rFonts w:hint="eastAsia"/>
          <w:color w:val="000000" w:themeColor="text1"/>
          <w:lang w:val="en-US" w:eastAsia="zh-CN"/>
          <w14:textFill>
            <w14:solidFill>
              <w14:schemeClr w14:val="tx1"/>
            </w14:solidFill>
          </w14:textFill>
        </w:rPr>
        <w:t>提</w:t>
      </w:r>
      <w:bookmarkEnd w:id="522"/>
      <w:r>
        <w:rPr>
          <w:rFonts w:hint="eastAsia"/>
          <w:color w:val="000000" w:themeColor="text1"/>
          <w:lang w:val="en-US" w:eastAsia="zh-CN"/>
          <w14:textFill>
            <w14:solidFill>
              <w14:schemeClr w14:val="tx1"/>
            </w14:solidFill>
          </w14:textFill>
        </w:rPr>
        <w:t>高社会文明程度</w:t>
      </w:r>
      <w:bookmarkEnd w:id="523"/>
    </w:p>
    <w:p w14:paraId="6B0844D7">
      <w:pPr>
        <w:spacing w:line="600" w:lineRule="exact"/>
        <w:rPr>
          <w:rFonts w:hint="eastAsia" w:ascii="仿宋_GB2312" w:eastAsia="仿宋_GB2312"/>
        </w:rPr>
      </w:pPr>
      <w:r>
        <w:rPr>
          <w:rFonts w:hint="eastAsia" w:ascii="仿宋_GB2312" w:hAnsi="仿宋_GB2312" w:eastAsia="仿宋_GB2312" w:cs="仿宋_GB2312"/>
          <w:b/>
          <w:bCs/>
        </w:rPr>
        <w:t>推进理想信念常态化教育。</w:t>
      </w:r>
      <w:r>
        <w:rPr>
          <w:rFonts w:hint="eastAsia"/>
          <w:lang w:val="en-US" w:eastAsia="zh-CN"/>
        </w:rPr>
        <w:t>深化</w:t>
      </w:r>
      <w:r>
        <w:rPr>
          <w:rFonts w:hint="eastAsia" w:ascii="仿宋_GB2312" w:eastAsia="仿宋_GB2312"/>
        </w:rPr>
        <w:t>党史、新中国史、改革开放史、社会主义发展史学习，加强爱国主义、集体主义、社会主义教育，弘扬民族精神和时代精神。</w:t>
      </w:r>
    </w:p>
    <w:p w14:paraId="6DEF8D43">
      <w:pPr>
        <w:spacing w:line="600" w:lineRule="exact"/>
        <w:rPr>
          <w:rFonts w:hint="eastAsia" w:ascii="仿宋_GB2312" w:eastAsia="仿宋_GB2312"/>
        </w:rPr>
      </w:pPr>
      <w:r>
        <w:rPr>
          <w:rFonts w:hint="eastAsia" w:ascii="仿宋_GB2312" w:eastAsia="仿宋_GB2312"/>
          <w:b/>
          <w:bCs/>
        </w:rPr>
        <w:t>坚持践行社会主义核心价值观。</w:t>
      </w:r>
      <w:r>
        <w:rPr>
          <w:rFonts w:hint="eastAsia" w:ascii="仿宋_GB2312" w:eastAsia="仿宋_GB2312"/>
        </w:rPr>
        <w:t>推进社会主义核心价值观阵地建设，</w:t>
      </w:r>
      <w:r>
        <w:rPr>
          <w:rFonts w:hint="eastAsia"/>
          <w:lang w:val="en-US" w:eastAsia="zh-CN"/>
        </w:rPr>
        <w:t>深化</w:t>
      </w:r>
      <w:r>
        <w:rPr>
          <w:rFonts w:hint="eastAsia" w:ascii="仿宋_GB2312" w:eastAsia="仿宋_GB2312"/>
        </w:rPr>
        <w:t>拓展新时代文明实践</w:t>
      </w:r>
      <w:r>
        <w:rPr>
          <w:rFonts w:hint="eastAsia" w:ascii="仿宋_GB2312" w:eastAsia="仿宋_GB2312"/>
          <w:lang w:eastAsia="zh-CN"/>
        </w:rPr>
        <w:t>，</w:t>
      </w:r>
      <w:r>
        <w:rPr>
          <w:rFonts w:hint="eastAsia" w:ascii="仿宋_GB2312" w:eastAsia="仿宋_GB2312"/>
        </w:rPr>
        <w:t>通过</w:t>
      </w:r>
      <w:r>
        <w:rPr>
          <w:rFonts w:hint="eastAsia" w:ascii="仿宋_GB2312"/>
          <w:lang w:val="en-US" w:eastAsia="zh-CN"/>
        </w:rPr>
        <w:t>多种</w:t>
      </w:r>
      <w:r>
        <w:rPr>
          <w:rFonts w:hint="eastAsia"/>
          <w:lang w:val="en-US" w:eastAsia="zh-CN"/>
        </w:rPr>
        <w:t>形式</w:t>
      </w:r>
      <w:r>
        <w:rPr>
          <w:rFonts w:hint="eastAsia" w:ascii="仿宋_GB2312" w:eastAsia="仿宋_GB2312"/>
        </w:rPr>
        <w:t>使核心价值观自然和谐地融入居民日常生活。</w:t>
      </w:r>
    </w:p>
    <w:p w14:paraId="648F2FFB">
      <w:pPr>
        <w:spacing w:line="600" w:lineRule="exact"/>
        <w:rPr>
          <w:rFonts w:hint="eastAsia" w:ascii="仿宋_GB2312" w:eastAsia="仿宋_GB2312"/>
          <w:color w:val="000000" w:themeColor="text1"/>
          <w14:textFill>
            <w14:solidFill>
              <w14:schemeClr w14:val="tx1"/>
            </w14:solidFill>
          </w14:textFill>
        </w:rPr>
      </w:pPr>
      <w:r>
        <w:rPr>
          <w:rFonts w:hint="eastAsia" w:ascii="仿宋_GB2312" w:hAnsi="仿宋_GB2312" w:eastAsia="仿宋_GB2312" w:cs="仿宋_GB2312"/>
          <w:b/>
          <w:bCs/>
          <w:lang w:val="en-US" w:eastAsia="zh-CN"/>
        </w:rPr>
        <w:t>深入开展文明创建工作</w:t>
      </w:r>
      <w:r>
        <w:rPr>
          <w:rFonts w:hint="eastAsia" w:ascii="仿宋_GB2312" w:hAnsi="仿宋_GB2312" w:eastAsia="仿宋_GB2312" w:cs="仿宋_GB2312"/>
          <w:b/>
          <w:bCs/>
        </w:rPr>
        <w:t>。</w:t>
      </w:r>
      <w:r>
        <w:rPr>
          <w:rFonts w:hint="eastAsia" w:ascii="仿宋_GB2312" w:eastAsia="仿宋_GB2312"/>
        </w:rPr>
        <w:t>开展“同倡文明风、共筑幸福城”文明实践系列活动，扎实推进全国文明城市创建工作。开展“道德模范”“最美工匠”等评选活动，推进社会荣誉体系建设</w:t>
      </w:r>
      <w:r>
        <w:rPr>
          <w:rFonts w:hint="eastAsia" w:ascii="仿宋_GB2312" w:eastAsia="仿宋_GB2312"/>
          <w:color w:val="000000" w:themeColor="text1"/>
          <w14:textFill>
            <w14:solidFill>
              <w14:schemeClr w14:val="tx1"/>
            </w14:solidFill>
          </w14:textFill>
        </w:rPr>
        <w:t>。</w:t>
      </w:r>
    </w:p>
    <w:p w14:paraId="295EEA6A">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br w:type="page"/>
      </w:r>
    </w:p>
    <w:p w14:paraId="577D948C">
      <w:pPr>
        <w:pStyle w:val="2"/>
        <w:keepNext w:val="0"/>
        <w:keepLines w:val="0"/>
        <w:pageBreakBefore w:val="0"/>
        <w:widowControl w:val="0"/>
        <w:kinsoku/>
        <w:wordWrap/>
        <w:overflowPunct/>
        <w:topLinePunct w:val="0"/>
        <w:autoSpaceDE/>
        <w:autoSpaceDN/>
        <w:bidi w:val="0"/>
        <w:adjustRightInd w:val="0"/>
        <w:snapToGrid w:val="0"/>
        <w:textAlignment w:val="auto"/>
        <w:rPr>
          <w:color w:val="000000" w:themeColor="text1"/>
          <w:highlight w:val="none"/>
          <w14:textFill>
            <w14:solidFill>
              <w14:schemeClr w14:val="tx1"/>
            </w14:solidFill>
          </w14:textFill>
        </w:rPr>
      </w:pPr>
      <w:bookmarkStart w:id="524" w:name="_Toc8318"/>
      <w:r>
        <w:rPr>
          <w:rFonts w:hint="eastAsia"/>
          <w:color w:val="000000" w:themeColor="text1"/>
          <w:highlight w:val="none"/>
          <w:lang w:eastAsia="zh-CN"/>
          <w14:textFill>
            <w14:solidFill>
              <w14:schemeClr w14:val="tx1"/>
            </w14:solidFill>
          </w14:textFill>
        </w:rPr>
        <w:t>第十一章</w:t>
      </w:r>
      <w:r>
        <w:rPr>
          <w:color w:val="000000" w:themeColor="text1"/>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统筹发展与安全，确保经济社会平稳健康发展</w:t>
      </w:r>
      <w:bookmarkEnd w:id="496"/>
      <w:bookmarkEnd w:id="497"/>
      <w:bookmarkEnd w:id="524"/>
    </w:p>
    <w:p w14:paraId="411958E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Ansi="仿宋_GB2312" w:cs="仿宋_GB2312"/>
          <w:color w:val="000000" w:themeColor="text1"/>
          <w:highlight w:val="none"/>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围绕推进共治共建共享，提升社会治理能力水平，筑牢安全生产防线，强化社会公共安全建设，防范化解重大风险隐患，为高质量发展创造平安稳定的社会局面。 </w:t>
      </w:r>
    </w:p>
    <w:p w14:paraId="583C0885">
      <w:pPr>
        <w:pStyle w:val="3"/>
        <w:numPr>
          <w:ilvl w:val="0"/>
          <w:numId w:val="0"/>
        </w:numPr>
        <w:bidi w:val="0"/>
        <w:ind w:left="0" w:leftChars="0" w:firstLine="0" w:firstLineChars="0"/>
        <w:outlineLvl w:val="1"/>
        <w:rPr>
          <w:highlight w:val="none"/>
        </w:rPr>
      </w:pPr>
      <w:bookmarkStart w:id="525" w:name="_Toc1241758249"/>
      <w:bookmarkStart w:id="526" w:name="_Toc32552"/>
      <w:bookmarkStart w:id="527" w:name="_Toc1740275077"/>
      <w:bookmarkStart w:id="528" w:name="_Toc8041"/>
      <w:bookmarkStart w:id="529" w:name="_Toc1994582686"/>
      <w:bookmarkStart w:id="530" w:name="_Toc1353709935"/>
      <w:bookmarkStart w:id="531" w:name="_Toc21183"/>
      <w:bookmarkStart w:id="532" w:name="_Toc530707072"/>
      <w:bookmarkStart w:id="533" w:name="_Toc9578"/>
      <w:bookmarkStart w:id="534" w:name="_Toc21558"/>
      <w:bookmarkStart w:id="535" w:name="_Toc263835254"/>
      <w:bookmarkStart w:id="536" w:name="_Toc1036953268"/>
      <w:bookmarkStart w:id="537" w:name="_Toc395998064"/>
      <w:bookmarkStart w:id="538" w:name="_Toc44004496"/>
      <w:bookmarkStart w:id="539" w:name="_Toc5401"/>
      <w:bookmarkStart w:id="540" w:name="_Toc18832"/>
      <w:bookmarkStart w:id="541" w:name="_Toc976152083"/>
      <w:bookmarkStart w:id="542" w:name="_Toc211154032"/>
      <w:bookmarkStart w:id="543" w:name="_Toc2084085298"/>
      <w:bookmarkStart w:id="544" w:name="_Toc204548007"/>
      <w:bookmarkStart w:id="545" w:name="_Toc2127515328"/>
      <w:r>
        <w:rPr>
          <w:rFonts w:ascii="仿宋_GB2312" w:hAnsi="仿宋_GB2312" w:eastAsia="楷体" w:cs="Times New Roman"/>
          <w:b/>
          <w:bCs/>
          <w:color w:val="000000" w:themeColor="text1"/>
          <w:kern w:val="2"/>
          <w:sz w:val="32"/>
          <w:szCs w:val="32"/>
          <w:highlight w:val="none"/>
          <w:lang w:val="en-US" w:eastAsia="zh-CN" w:bidi="ar-SA"/>
          <w14:textFill>
            <w14:solidFill>
              <w14:schemeClr w14:val="tx1"/>
            </w14:solidFill>
          </w14:textFill>
        </w:rPr>
        <w:t>第一节</w:t>
      </w:r>
      <w:r>
        <w:rPr>
          <w:rFonts w:hint="eastAsia"/>
          <w:highlight w:val="none"/>
          <w:lang w:val="en-US" w:eastAsia="zh-CN"/>
        </w:rPr>
        <w:t xml:space="preserve"> </w:t>
      </w:r>
      <w:r>
        <w:rPr>
          <w:rFonts w:hint="eastAsia"/>
          <w:highlight w:val="none"/>
          <w:lang w:eastAsia="zh-CN"/>
        </w:rPr>
        <w:t>持续加强和创新社会治理</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2F1A2F9F">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仿宋_GB2312" w:eastAsia="仿宋_GB2312" w:cs="仿宋_GB2312"/>
          <w:color w:val="000000"/>
          <w:kern w:val="2"/>
          <w:sz w:val="32"/>
          <w:szCs w:val="32"/>
          <w:highlight w:val="none"/>
          <w:lang w:val="en-US" w:eastAsia="zh-CN" w:bidi="ar-SA"/>
        </w:rPr>
      </w:pPr>
      <w:bookmarkStart w:id="546" w:name="_Toc22665"/>
      <w:r>
        <w:rPr>
          <w:rFonts w:hint="eastAsia" w:ascii="仿宋_GB2312" w:hAnsi="Times New Roman" w:eastAsia="仿宋_GB2312" w:cs="仿宋_GB2312"/>
          <w:b/>
          <w:bCs w:val="0"/>
          <w:kern w:val="2"/>
          <w:sz w:val="32"/>
          <w:szCs w:val="32"/>
          <w:highlight w:val="none"/>
          <w:lang w:val="en-US" w:eastAsia="zh-CN" w:bidi="ar-SA"/>
        </w:rPr>
        <w:t>推进全面依法治区。</w:t>
      </w:r>
      <w:r>
        <w:rPr>
          <w:rFonts w:hint="eastAsia" w:ascii="仿宋_GB2312" w:hAnsi="Times New Roman" w:eastAsia="仿宋_GB2312" w:cs="仿宋_GB2312"/>
          <w:bCs/>
          <w:kern w:val="2"/>
          <w:sz w:val="32"/>
          <w:szCs w:val="32"/>
          <w:highlight w:val="none"/>
          <w:lang w:val="en-US" w:eastAsia="zh-CN" w:bidi="ar-SA"/>
        </w:rPr>
        <w:t>深入推进法治政府</w:t>
      </w:r>
      <w:r>
        <w:rPr>
          <w:rFonts w:hint="eastAsia" w:cs="仿宋_GB2312"/>
          <w:bCs/>
          <w:kern w:val="2"/>
          <w:sz w:val="32"/>
          <w:szCs w:val="32"/>
          <w:highlight w:val="none"/>
          <w:lang w:val="en-US" w:eastAsia="zh-CN" w:bidi="ar-SA"/>
        </w:rPr>
        <w:t>、法治社会</w:t>
      </w:r>
      <w:r>
        <w:rPr>
          <w:rFonts w:hint="eastAsia" w:ascii="仿宋_GB2312" w:hAnsi="Times New Roman" w:eastAsia="仿宋_GB2312" w:cs="仿宋_GB2312"/>
          <w:bCs/>
          <w:kern w:val="2"/>
          <w:sz w:val="32"/>
          <w:szCs w:val="32"/>
          <w:highlight w:val="none"/>
          <w:lang w:val="en-US" w:eastAsia="zh-CN" w:bidi="ar-SA"/>
        </w:rPr>
        <w:t>建设，</w:t>
      </w:r>
      <w:r>
        <w:rPr>
          <w:rFonts w:hint="eastAsia" w:ascii="仿宋_GB2312" w:hAnsi="仿宋_GB2312" w:eastAsia="仿宋_GB2312" w:cs="仿宋_GB2312"/>
          <w:snapToGrid w:val="0"/>
          <w:color w:val="000000"/>
          <w:spacing w:val="-4"/>
          <w:kern w:val="2"/>
          <w:sz w:val="32"/>
          <w:szCs w:val="32"/>
          <w:highlight w:val="none"/>
          <w:lang w:val="en-US" w:eastAsia="zh-CN" w:bidi="ar-SA"/>
        </w:rPr>
        <w:t>强化法律顾问团作用，</w:t>
      </w:r>
      <w:r>
        <w:rPr>
          <w:rFonts w:hint="eastAsia" w:hAnsi="仿宋_GB2312" w:cs="仿宋_GB2312"/>
          <w:snapToGrid w:val="0"/>
          <w:color w:val="000000"/>
          <w:spacing w:val="-4"/>
          <w:kern w:val="2"/>
          <w:sz w:val="32"/>
          <w:szCs w:val="32"/>
          <w:highlight w:val="none"/>
          <w:lang w:val="en-US" w:eastAsia="zh-CN" w:bidi="ar-SA"/>
        </w:rPr>
        <w:t>扩大法律援助范围，</w:t>
      </w:r>
      <w:bookmarkStart w:id="547" w:name="_Toc14064"/>
      <w:r>
        <w:rPr>
          <w:rFonts w:hint="eastAsia" w:hAnsi="仿宋_GB2312" w:cs="仿宋_GB2312"/>
          <w:color w:val="000000"/>
          <w:kern w:val="2"/>
          <w:sz w:val="32"/>
          <w:szCs w:val="32"/>
          <w:highlight w:val="none"/>
          <w:lang w:val="en-US" w:eastAsia="zh-CN" w:bidi="ar-SA"/>
        </w:rPr>
        <w:t>促进司法公正高效</w:t>
      </w:r>
      <w:r>
        <w:rPr>
          <w:rFonts w:hint="eastAsia" w:ascii="仿宋_GB2312" w:hAnsi="仿宋_GB2312" w:eastAsia="仿宋_GB2312" w:cs="仿宋_GB2312"/>
          <w:color w:val="000000"/>
          <w:kern w:val="2"/>
          <w:sz w:val="32"/>
          <w:szCs w:val="32"/>
          <w:highlight w:val="none"/>
          <w:lang w:val="en-US" w:eastAsia="zh-CN" w:bidi="ar-SA"/>
        </w:rPr>
        <w:t>。</w:t>
      </w:r>
      <w:bookmarkEnd w:id="547"/>
    </w:p>
    <w:p w14:paraId="73BD31C6">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Times New Roman" w:eastAsia="仿宋_GB2312" w:cs="仿宋_GB2312"/>
          <w:kern w:val="2"/>
          <w:sz w:val="32"/>
          <w:szCs w:val="32"/>
          <w:highlight w:val="none"/>
          <w:lang w:val="en-US" w:eastAsia="zh-CN" w:bidi="ar-SA"/>
        </w:rPr>
      </w:pPr>
      <w:r>
        <w:rPr>
          <w:rFonts w:hint="eastAsia" w:ascii="仿宋_GB2312" w:hAnsi="Times New Roman" w:eastAsia="仿宋_GB2312" w:cs="仿宋_GB2312"/>
          <w:b/>
          <w:bCs w:val="0"/>
          <w:kern w:val="2"/>
          <w:sz w:val="32"/>
          <w:szCs w:val="32"/>
          <w:highlight w:val="none"/>
          <w:lang w:val="en-US" w:eastAsia="zh-CN" w:bidi="ar-SA"/>
        </w:rPr>
        <w:t>构建基层治理新格局。</w:t>
      </w:r>
      <w:r>
        <w:rPr>
          <w:rFonts w:hint="eastAsia" w:ascii="仿宋_GB2312" w:hAnsi="Times New Roman" w:eastAsia="仿宋_GB2312" w:cs="仿宋_GB2312"/>
          <w:kern w:val="2"/>
          <w:sz w:val="32"/>
          <w:szCs w:val="32"/>
          <w:highlight w:val="none"/>
          <w:lang w:val="en-US" w:eastAsia="zh-CN" w:bidi="ar-SA"/>
        </w:rPr>
        <w:t>坚持党建引领，强化基层党组织建设，建立健全城市基层党建三级联动机制，保障群众知情权、参与权、表达权、监督权。</w:t>
      </w:r>
    </w:p>
    <w:p w14:paraId="7FAC69AA">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Times New Roman" w:eastAsia="仿宋_GB2312" w:cs="仿宋_GB2312"/>
          <w:b w:val="0"/>
          <w:bCs w:val="0"/>
          <w:kern w:val="2"/>
          <w:sz w:val="32"/>
          <w:szCs w:val="32"/>
          <w:highlight w:val="none"/>
          <w:lang w:val="en-US" w:eastAsia="zh-CN" w:bidi="ar-SA"/>
        </w:rPr>
      </w:pPr>
      <w:r>
        <w:rPr>
          <w:rFonts w:hint="eastAsia" w:ascii="仿宋_GB2312" w:hAnsi="Times New Roman" w:eastAsia="仿宋_GB2312" w:cs="仿宋_GB2312"/>
          <w:b/>
          <w:bCs/>
          <w:kern w:val="2"/>
          <w:sz w:val="32"/>
          <w:szCs w:val="32"/>
          <w:highlight w:val="none"/>
          <w:lang w:val="en-US" w:eastAsia="zh-CN" w:bidi="ar-SA"/>
        </w:rPr>
        <w:t>建立完善基层治理体系</w:t>
      </w:r>
      <w:r>
        <w:rPr>
          <w:rFonts w:hint="eastAsia" w:ascii="仿宋_GB2312" w:hAnsi="Times New Roman" w:eastAsia="仿宋_GB2312" w:cs="仿宋_GB2312"/>
          <w:kern w:val="2"/>
          <w:sz w:val="32"/>
          <w:szCs w:val="32"/>
          <w:highlight w:val="none"/>
          <w:lang w:val="en-US" w:eastAsia="zh-CN" w:bidi="ar-SA"/>
        </w:rPr>
        <w:t>。</w:t>
      </w:r>
      <w:r>
        <w:rPr>
          <w:rFonts w:hint="eastAsia" w:ascii="仿宋_GB2312" w:hAnsi="Times New Roman" w:eastAsia="仿宋_GB2312" w:cs="仿宋_GB2312"/>
          <w:b w:val="0"/>
          <w:bCs w:val="0"/>
          <w:kern w:val="2"/>
          <w:sz w:val="32"/>
          <w:szCs w:val="32"/>
          <w:highlight w:val="none"/>
          <w:lang w:val="en-US" w:eastAsia="zh-CN" w:bidi="ar-SA"/>
        </w:rPr>
        <w:t>健全党组织领导、社区、村（居）委会主导、人民群众为主体的基层治理框架。推广长山花园社区“六治融合”经验做法，健全完善“三长”联动机制，为社区</w:t>
      </w:r>
      <w:r>
        <w:rPr>
          <w:rFonts w:hint="eastAsia" w:cs="仿宋_GB2312"/>
          <w:b w:val="0"/>
          <w:bCs w:val="0"/>
          <w:kern w:val="2"/>
          <w:sz w:val="32"/>
          <w:szCs w:val="32"/>
          <w:highlight w:val="none"/>
          <w:lang w:val="en-US" w:eastAsia="zh-CN" w:bidi="ar-SA"/>
        </w:rPr>
        <w:t>居民提供</w:t>
      </w:r>
      <w:r>
        <w:rPr>
          <w:rFonts w:hint="eastAsia" w:ascii="仿宋_GB2312" w:hAnsi="Times New Roman" w:eastAsia="仿宋_GB2312" w:cs="仿宋_GB2312"/>
          <w:b w:val="0"/>
          <w:bCs w:val="0"/>
          <w:kern w:val="2"/>
          <w:sz w:val="32"/>
          <w:szCs w:val="32"/>
          <w:highlight w:val="none"/>
          <w:lang w:val="en-US" w:eastAsia="zh-CN" w:bidi="ar-SA"/>
        </w:rPr>
        <w:t>高效服务。</w:t>
      </w:r>
    </w:p>
    <w:p w14:paraId="32F6A866">
      <w:pPr>
        <w:keepNext w:val="0"/>
        <w:keepLines w:val="0"/>
        <w:widowControl w:val="0"/>
        <w:suppressLineNumbers w:val="0"/>
        <w:spacing w:before="0" w:beforeAutospacing="0" w:after="0" w:afterAutospacing="0" w:line="600" w:lineRule="exact"/>
        <w:ind w:left="0" w:right="0" w:firstLine="643" w:firstLineChars="200"/>
        <w:jc w:val="both"/>
        <w:rPr>
          <w:rFonts w:hAnsi="仿宋_GB2312" w:cs="仿宋_GB2312"/>
          <w:color w:val="000000" w:themeColor="text1"/>
          <w:highlight w:val="none"/>
          <w:lang w:val="en-US"/>
          <w14:textFill>
            <w14:solidFill>
              <w14:schemeClr w14:val="tx1"/>
            </w14:solidFill>
          </w14:textFill>
        </w:rPr>
      </w:pPr>
      <w:r>
        <w:rPr>
          <w:rFonts w:hint="eastAsia" w:ascii="仿宋_GB2312" w:hAnsi="Times New Roman" w:eastAsia="仿宋_GB2312" w:cs="仿宋_GB2312"/>
          <w:b/>
          <w:bCs w:val="0"/>
          <w:kern w:val="2"/>
          <w:sz w:val="32"/>
          <w:szCs w:val="32"/>
          <w:highlight w:val="none"/>
          <w:lang w:val="en-US" w:eastAsia="zh-CN" w:bidi="ar-SA"/>
        </w:rPr>
        <w:t>完善社会矛盾调处有效机制。</w:t>
      </w:r>
      <w:r>
        <w:rPr>
          <w:rFonts w:hint="eastAsia" w:ascii="仿宋_GB2312" w:hAnsi="Times New Roman" w:eastAsia="仿宋_GB2312" w:cs="仿宋_GB2312"/>
          <w:b w:val="0"/>
          <w:bCs/>
          <w:kern w:val="2"/>
          <w:sz w:val="32"/>
          <w:szCs w:val="32"/>
          <w:highlight w:val="none"/>
          <w:lang w:val="en-US" w:eastAsia="zh-CN" w:bidi="ar-SA"/>
        </w:rPr>
        <w:t>健全社会矛盾纠纷排查预警和多元预防调处化解机制，加强人民调解组织建设，完善人民、行政、司法调解联动体系，探索采用公证、调解、仲裁、行政复议等非诉讼方式化解矛盾纠纷</w:t>
      </w:r>
      <w:r>
        <w:rPr>
          <w:rFonts w:hint="eastAsia" w:ascii="仿宋_GB2312" w:hAnsi="Times New Roman" w:eastAsia="仿宋_GB2312" w:cs="仿宋_GB2312"/>
          <w:b w:val="0"/>
          <w:bCs/>
          <w:color w:val="000000" w:themeColor="text1"/>
          <w:kern w:val="2"/>
          <w:sz w:val="32"/>
          <w:szCs w:val="32"/>
          <w:highlight w:val="none"/>
          <w:lang w:val="en-US" w:eastAsia="zh-CN" w:bidi="ar-SA"/>
          <w14:textFill>
            <w14:solidFill>
              <w14:schemeClr w14:val="tx1"/>
            </w14:solidFill>
          </w14:textFill>
        </w:rPr>
        <w:t>。</w:t>
      </w:r>
      <w:bookmarkEnd w:id="546"/>
    </w:p>
    <w:p w14:paraId="58ED4DB7">
      <w:pPr>
        <w:pStyle w:val="3"/>
        <w:widowControl/>
        <w:spacing w:before="120" w:beforeAutospacing="0" w:after="120" w:afterAutospacing="0"/>
        <w:ind w:left="0" w:leftChars="0" w:right="0" w:rightChars="0" w:firstLine="0" w:firstLineChars="0"/>
        <w:jc w:val="center"/>
        <w:outlineLvl w:val="1"/>
        <w:rPr>
          <w:color w:val="000000" w:themeColor="text1"/>
          <w:highlight w:val="none"/>
          <w14:textFill>
            <w14:solidFill>
              <w14:schemeClr w14:val="tx1"/>
            </w14:solidFill>
          </w14:textFill>
        </w:rPr>
      </w:pPr>
      <w:bookmarkStart w:id="548" w:name="_Toc21914"/>
      <w:bookmarkStart w:id="549" w:name="_Toc12983"/>
      <w:bookmarkStart w:id="550" w:name="_Toc1094173113"/>
      <w:bookmarkStart w:id="551" w:name="_Toc1547395146"/>
      <w:bookmarkStart w:id="552" w:name="_Toc880195319"/>
      <w:bookmarkStart w:id="553" w:name="_Toc6286"/>
      <w:bookmarkStart w:id="554" w:name="_Toc75946999"/>
      <w:bookmarkStart w:id="555" w:name="_Toc5463"/>
      <w:bookmarkStart w:id="556" w:name="_Toc155037166"/>
      <w:bookmarkStart w:id="557" w:name="_Toc1909466072"/>
      <w:bookmarkStart w:id="558" w:name="_Toc860306612"/>
      <w:bookmarkStart w:id="559" w:name="_Toc1368654345"/>
      <w:bookmarkStart w:id="560" w:name="_Toc6357"/>
      <w:bookmarkStart w:id="561" w:name="_Toc1685979696"/>
      <w:bookmarkStart w:id="562" w:name="_Toc1600627911"/>
      <w:bookmarkStart w:id="563" w:name="_Toc22617"/>
      <w:bookmarkStart w:id="564" w:name="_Toc961076213"/>
      <w:bookmarkStart w:id="565" w:name="_Toc1035067950"/>
      <w:bookmarkStart w:id="566" w:name="_Toc602471999"/>
      <w:bookmarkStart w:id="567" w:name="_Toc211154034"/>
      <w:bookmarkStart w:id="568" w:name="_Toc21288"/>
      <w:r>
        <w:rPr>
          <w:rFonts w:hint="eastAsia" w:ascii="仿宋_GB2312" w:hAnsi="Times New Roman" w:eastAsia="楷体" w:cs="楷体"/>
          <w:color w:val="000000" w:themeColor="text1"/>
          <w:highlight w:val="none"/>
          <w:lang w:eastAsia="zh-CN"/>
          <w14:textFill>
            <w14:solidFill>
              <w14:schemeClr w14:val="tx1"/>
            </w14:solidFill>
          </w14:textFill>
        </w:rPr>
        <w:t>第二节</w:t>
      </w:r>
      <w:r>
        <w:rPr>
          <w:color w:val="000000" w:themeColor="text1"/>
          <w:highlight w:val="none"/>
          <w:lang w:eastAsia="zh-CN"/>
          <w14:textFill>
            <w14:solidFill>
              <w14:schemeClr w14:val="tx1"/>
            </w14:solidFill>
          </w14:textFill>
        </w:rPr>
        <w:t xml:space="preserve"> </w:t>
      </w:r>
      <w:r>
        <w:rPr>
          <w:rFonts w:hint="eastAsia" w:ascii="仿宋_GB2312" w:hAnsi="Times New Roman" w:eastAsia="楷体" w:cs="楷体"/>
          <w:color w:val="000000" w:themeColor="text1"/>
          <w:highlight w:val="none"/>
          <w:lang w:eastAsia="zh-CN"/>
          <w14:textFill>
            <w14:solidFill>
              <w14:schemeClr w14:val="tx1"/>
            </w14:solidFill>
          </w14:textFill>
        </w:rPr>
        <w:t>筑牢安全生产防线</w:t>
      </w:r>
      <w:bookmarkEnd w:id="548"/>
    </w:p>
    <w:p w14:paraId="74A7901B">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Times New Roman" w:eastAsia="仿宋_GB2312" w:cs="仿宋_GB2312"/>
          <w:kern w:val="2"/>
          <w:sz w:val="32"/>
          <w:szCs w:val="32"/>
          <w:highlight w:val="none"/>
          <w:lang w:val="en-US" w:eastAsia="zh-CN" w:bidi="ar-SA"/>
        </w:rPr>
      </w:pPr>
      <w:r>
        <w:rPr>
          <w:rFonts w:hint="eastAsia" w:ascii="仿宋_GB2312" w:hAnsi="Times New Roman" w:eastAsia="仿宋_GB2312" w:cs="仿宋_GB2312"/>
          <w:b/>
          <w:bCs w:val="0"/>
          <w:kern w:val="2"/>
          <w:sz w:val="32"/>
          <w:szCs w:val="32"/>
          <w:highlight w:val="none"/>
          <w:lang w:val="en-US" w:eastAsia="zh-CN" w:bidi="ar-SA"/>
        </w:rPr>
        <w:t>健全安全生产制度体系。</w:t>
      </w:r>
      <w:r>
        <w:rPr>
          <w:rFonts w:hint="eastAsia" w:ascii="仿宋_GB2312" w:hAnsi="Times New Roman" w:eastAsia="仿宋_GB2312" w:cs="仿宋_GB2312"/>
          <w:kern w:val="2"/>
          <w:sz w:val="32"/>
          <w:szCs w:val="32"/>
          <w:highlight w:val="none"/>
          <w:lang w:val="en-US" w:eastAsia="zh-CN" w:bidi="ar-SA"/>
        </w:rPr>
        <w:t>压紧压实企业安全生产主体责任，推进安全标准化建设，严格高危行业领域安全准入制度</w:t>
      </w:r>
      <w:r>
        <w:rPr>
          <w:rFonts w:hint="eastAsia" w:cs="仿宋_GB2312"/>
          <w:kern w:val="2"/>
          <w:sz w:val="32"/>
          <w:szCs w:val="32"/>
          <w:highlight w:val="none"/>
          <w:lang w:val="en-US" w:eastAsia="zh-CN" w:bidi="ar-SA"/>
        </w:rPr>
        <w:t>，补齐安全基础设施短板</w:t>
      </w:r>
      <w:r>
        <w:rPr>
          <w:rFonts w:hint="eastAsia" w:ascii="仿宋_GB2312" w:hAnsi="Times New Roman" w:eastAsia="仿宋_GB2312" w:cs="仿宋_GB2312"/>
          <w:kern w:val="2"/>
          <w:sz w:val="32"/>
          <w:szCs w:val="32"/>
          <w:highlight w:val="none"/>
          <w:lang w:val="en-US" w:eastAsia="zh-CN" w:bidi="ar-SA"/>
        </w:rPr>
        <w:t>。</w:t>
      </w:r>
    </w:p>
    <w:p w14:paraId="34B9C696">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Times New Roman" w:eastAsia="仿宋_GB2312" w:cs="仿宋_GB2312"/>
          <w:kern w:val="2"/>
          <w:sz w:val="32"/>
          <w:szCs w:val="32"/>
          <w:highlight w:val="none"/>
          <w:lang w:val="en-US" w:eastAsia="zh-CN" w:bidi="ar-SA"/>
        </w:rPr>
      </w:pPr>
      <w:r>
        <w:rPr>
          <w:rFonts w:hint="eastAsia" w:ascii="仿宋_GB2312" w:hAnsi="Times New Roman" w:eastAsia="仿宋_GB2312" w:cs="仿宋_GB2312"/>
          <w:b/>
          <w:bCs/>
          <w:kern w:val="2"/>
          <w:sz w:val="32"/>
          <w:szCs w:val="32"/>
          <w:highlight w:val="none"/>
          <w:lang w:val="en-US" w:eastAsia="zh-CN" w:bidi="ar-SA"/>
        </w:rPr>
        <w:t>加大源头管控治理力度。</w:t>
      </w:r>
      <w:r>
        <w:rPr>
          <w:rFonts w:hint="eastAsia" w:cs="仿宋_GB2312"/>
          <w:kern w:val="2"/>
          <w:sz w:val="32"/>
          <w:szCs w:val="32"/>
          <w:highlight w:val="none"/>
          <w:lang w:val="en-US" w:eastAsia="zh-CN" w:bidi="ar-SA"/>
        </w:rPr>
        <w:t>深化安全生产治本攻坚，</w:t>
      </w:r>
      <w:r>
        <w:rPr>
          <w:rFonts w:hint="eastAsia" w:ascii="仿宋_GB2312" w:hAnsi="Times New Roman" w:eastAsia="仿宋_GB2312" w:cs="仿宋_GB2312"/>
          <w:kern w:val="2"/>
          <w:sz w:val="32"/>
          <w:szCs w:val="32"/>
          <w:highlight w:val="none"/>
          <w:lang w:val="en-US" w:eastAsia="zh-CN" w:bidi="ar-SA"/>
        </w:rPr>
        <w:t>深入推进消防、</w:t>
      </w:r>
      <w:r>
        <w:rPr>
          <w:rFonts w:hint="eastAsia" w:cs="仿宋_GB2312"/>
          <w:kern w:val="2"/>
          <w:sz w:val="32"/>
          <w:szCs w:val="32"/>
          <w:highlight w:val="none"/>
          <w:lang w:val="en-US" w:eastAsia="zh-CN" w:bidi="ar-SA"/>
        </w:rPr>
        <w:t>燃气、</w:t>
      </w:r>
      <w:r>
        <w:rPr>
          <w:rFonts w:hint="eastAsia" w:ascii="仿宋_GB2312" w:hAnsi="Times New Roman" w:eastAsia="仿宋_GB2312" w:cs="仿宋_GB2312"/>
          <w:kern w:val="2"/>
          <w:sz w:val="32"/>
          <w:szCs w:val="32"/>
          <w:highlight w:val="none"/>
          <w:lang w:val="en-US" w:eastAsia="zh-CN" w:bidi="ar-SA"/>
        </w:rPr>
        <w:t>危险化学品、建筑施工、道路交通、工业园区等重点领域安全整治，</w:t>
      </w:r>
      <w:r>
        <w:rPr>
          <w:rFonts w:hint="eastAsia" w:cs="仿宋_GB2312"/>
          <w:kern w:val="2"/>
          <w:sz w:val="32"/>
          <w:szCs w:val="32"/>
          <w:highlight w:val="none"/>
          <w:lang w:val="en-US" w:eastAsia="zh-CN" w:bidi="ar-SA"/>
        </w:rPr>
        <w:t>加强</w:t>
      </w:r>
      <w:r>
        <w:rPr>
          <w:rFonts w:hint="eastAsia" w:ascii="仿宋_GB2312" w:hAnsi="Times New Roman" w:eastAsia="仿宋_GB2312" w:cs="仿宋_GB2312"/>
          <w:kern w:val="2"/>
          <w:sz w:val="32"/>
          <w:szCs w:val="32"/>
          <w:highlight w:val="none"/>
          <w:lang w:val="en-US" w:eastAsia="zh-CN" w:bidi="ar-SA"/>
        </w:rPr>
        <w:t>商场、学校、医院、养老院、幼儿园等人群密集场所隐患排查治理。</w:t>
      </w:r>
    </w:p>
    <w:p w14:paraId="5AE1A270">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hAnsi="Times New Roman"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Times New Roman" w:eastAsia="仿宋_GB2312" w:cs="仿宋_GB2312"/>
          <w:b/>
          <w:bCs/>
          <w:kern w:val="2"/>
          <w:sz w:val="32"/>
          <w:szCs w:val="32"/>
          <w:highlight w:val="none"/>
          <w:lang w:val="en-US" w:eastAsia="zh-CN" w:bidi="ar-SA"/>
        </w:rPr>
        <w:t>提升安全生产应急救援能力。</w:t>
      </w:r>
      <w:r>
        <w:rPr>
          <w:rFonts w:hint="eastAsia" w:ascii="仿宋_GB2312" w:hAnsi="Times New Roman" w:eastAsia="仿宋_GB2312" w:cs="仿宋_GB2312"/>
          <w:b w:val="0"/>
          <w:bCs w:val="0"/>
          <w:kern w:val="2"/>
          <w:sz w:val="32"/>
          <w:szCs w:val="32"/>
          <w:highlight w:val="none"/>
          <w:lang w:val="en-US" w:eastAsia="zh-CN" w:bidi="ar-SA"/>
        </w:rPr>
        <w:t>健全安全生产应急救援管理工作体系，完善救援保障机制和应急联动机制，定期组织大型企业、商超、学校等人群密集场所开展应急演练，提升从业人员整体安全素质</w:t>
      </w:r>
      <w:r>
        <w:rPr>
          <w:rFonts w:hint="eastAsia" w:ascii="仿宋_GB2312"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w:t>
      </w:r>
    </w:p>
    <w:p w14:paraId="2015908B">
      <w:pPr>
        <w:pStyle w:val="3"/>
        <w:keepNext w:val="0"/>
        <w:keepLines w:val="0"/>
        <w:widowControl/>
        <w:suppressLineNumbers w:val="0"/>
        <w:spacing w:before="120" w:beforeAutospacing="0" w:after="120" w:afterAutospacing="0"/>
        <w:ind w:left="0" w:leftChars="0" w:right="0" w:rightChars="0" w:firstLine="0" w:firstLineChars="0"/>
        <w:outlineLvl w:val="1"/>
        <w:rPr>
          <w:rFonts w:eastAsia="仿宋_GB2312" w:cs="仿宋_GB2312"/>
          <w:color w:val="000000" w:themeColor="text1"/>
          <w:highlight w:val="none"/>
          <w:lang w:val="en-US"/>
          <w14:textFill>
            <w14:solidFill>
              <w14:schemeClr w14:val="tx1"/>
            </w14:solidFill>
          </w14:textFill>
        </w:rPr>
      </w:pPr>
      <w:bookmarkStart w:id="569" w:name="_Toc19808"/>
      <w:r>
        <w:rPr>
          <w:rFonts w:hint="eastAsia" w:ascii="仿宋_GB2312" w:hAnsi="Times New Roman" w:eastAsia="楷体" w:cs="楷体"/>
          <w:color w:val="000000" w:themeColor="text1"/>
          <w:highlight w:val="none"/>
          <w:lang w:eastAsia="zh-CN"/>
          <w14:textFill>
            <w14:solidFill>
              <w14:schemeClr w14:val="tx1"/>
            </w14:solidFill>
          </w14:textFill>
        </w:rPr>
        <w:t>第三节</w:t>
      </w:r>
      <w:r>
        <w:rPr>
          <w:color w:val="000000" w:themeColor="text1"/>
          <w:highlight w:val="none"/>
          <w:lang w:eastAsia="zh-CN"/>
          <w14:textFill>
            <w14:solidFill>
              <w14:schemeClr w14:val="tx1"/>
            </w14:solidFill>
          </w14:textFill>
        </w:rPr>
        <w:t xml:space="preserve"> </w:t>
      </w:r>
      <w:r>
        <w:rPr>
          <w:rFonts w:hint="eastAsia" w:ascii="仿宋_GB2312" w:hAnsi="Times New Roman" w:eastAsia="楷体" w:cs="楷体"/>
          <w:color w:val="000000" w:themeColor="text1"/>
          <w:highlight w:val="none"/>
          <w:lang w:eastAsia="zh-CN"/>
          <w14:textFill>
            <w14:solidFill>
              <w14:schemeClr w14:val="tx1"/>
            </w14:solidFill>
          </w14:textFill>
        </w:rPr>
        <w:t>保障重点领域</w:t>
      </w:r>
      <w:r>
        <w:rPr>
          <w:rFonts w:hint="eastAsia" w:ascii="Times New Roman" w:hAnsi="Times New Roman" w:eastAsia="楷体" w:cs="楷体"/>
          <w:color w:val="000000" w:themeColor="text1"/>
          <w:highlight w:val="none"/>
          <w:lang w:eastAsia="zh-CN"/>
          <w14:textFill>
            <w14:solidFill>
              <w14:schemeClr w14:val="tx1"/>
            </w14:solidFill>
          </w14:textFill>
        </w:rPr>
        <w:t>公共安全</w:t>
      </w:r>
      <w:bookmarkEnd w:id="549"/>
      <w:bookmarkEnd w:id="569"/>
    </w:p>
    <w:p w14:paraId="3369E347">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rPr>
          <w:rFonts w:hint="eastAsia" w:ascii="仿宋_GB2312" w:hAnsi="Times New Roman" w:eastAsia="仿宋_GB2312" w:cs="仿宋_GB2312"/>
          <w:kern w:val="2"/>
          <w:sz w:val="32"/>
          <w:szCs w:val="32"/>
          <w:highlight w:val="none"/>
          <w:lang w:val="en-US" w:eastAsia="zh-CN" w:bidi="ar-SA"/>
        </w:rPr>
      </w:pPr>
      <w:r>
        <w:rPr>
          <w:rFonts w:hint="eastAsia" w:ascii="仿宋_GB2312" w:hAnsi="Times New Roman" w:eastAsia="仿宋_GB2312" w:cs="仿宋_GB2312"/>
          <w:b/>
          <w:bCs w:val="0"/>
          <w:kern w:val="2"/>
          <w:sz w:val="32"/>
          <w:szCs w:val="32"/>
          <w:highlight w:val="none"/>
          <w:lang w:val="en-US" w:eastAsia="zh-CN" w:bidi="ar-SA"/>
        </w:rPr>
        <w:t>强化食品药品安全监管。</w:t>
      </w:r>
      <w:r>
        <w:rPr>
          <w:rFonts w:hint="eastAsia" w:ascii="仿宋_GB2312" w:hAnsi="Times New Roman" w:eastAsia="仿宋_GB2312" w:cs="仿宋_GB2312"/>
          <w:kern w:val="2"/>
          <w:sz w:val="32"/>
          <w:szCs w:val="32"/>
          <w:highlight w:val="none"/>
          <w:lang w:val="en-US" w:eastAsia="zh-CN" w:bidi="ar-SA"/>
        </w:rPr>
        <w:t>健全“从农田到餐桌”全链条追溯体系，推动食品安全“互联网＋明厨亮灶”工程</w:t>
      </w:r>
      <w:r>
        <w:rPr>
          <w:rFonts w:hint="eastAsia" w:cs="仿宋_GB2312"/>
          <w:kern w:val="2"/>
          <w:sz w:val="32"/>
          <w:szCs w:val="32"/>
          <w:highlight w:val="none"/>
          <w:lang w:val="en-US" w:eastAsia="zh-CN" w:bidi="ar-SA"/>
        </w:rPr>
        <w:t>。</w:t>
      </w:r>
      <w:r>
        <w:rPr>
          <w:rFonts w:hint="eastAsia" w:ascii="仿宋_GB2312" w:hAnsi="Times New Roman" w:eastAsia="仿宋_GB2312" w:cs="仿宋_GB2312"/>
          <w:kern w:val="2"/>
          <w:sz w:val="32"/>
          <w:szCs w:val="32"/>
          <w:highlight w:val="none"/>
          <w:lang w:val="en-US" w:eastAsia="zh-CN" w:bidi="ar-SA"/>
        </w:rPr>
        <w:t>组织开展药品安全专项整治行动，重点加强政府采购产品的监管，完善全生命周期质量监管机制。</w:t>
      </w:r>
    </w:p>
    <w:p w14:paraId="1D691E5B">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val="0"/>
          <w:kern w:val="2"/>
          <w:sz w:val="32"/>
          <w:szCs w:val="32"/>
          <w:highlight w:val="none"/>
          <w:lang w:val="en-US" w:eastAsia="zh-CN" w:bidi="ar-SA"/>
        </w:rPr>
        <w:t>完善公共卫生安全防控机制。</w:t>
      </w:r>
      <w:r>
        <w:rPr>
          <w:rFonts w:hint="eastAsia" w:ascii="仿宋_GB2312" w:hAnsi="仿宋_GB2312" w:eastAsia="仿宋_GB2312" w:cs="仿宋_GB2312"/>
          <w:kern w:val="2"/>
          <w:sz w:val="32"/>
          <w:szCs w:val="32"/>
          <w:highlight w:val="none"/>
          <w:lang w:val="en-US" w:eastAsia="zh-CN" w:bidi="ar-SA"/>
        </w:rPr>
        <w:t>完善“区疾控中心</w:t>
      </w:r>
      <w:r>
        <w:rPr>
          <w:rFonts w:hint="eastAsia"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街道卫生服务中心</w:t>
      </w:r>
      <w:r>
        <w:rPr>
          <w:rFonts w:hint="eastAsia"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社区哨点”三级联防联控网络，健全应急物资智能储备库。</w:t>
      </w:r>
    </w:p>
    <w:p w14:paraId="4CF3F181">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bCs w:val="0"/>
          <w:kern w:val="2"/>
          <w:sz w:val="32"/>
          <w:szCs w:val="32"/>
          <w:highlight w:val="none"/>
          <w:lang w:val="en-US" w:eastAsia="zh-CN" w:bidi="ar-SA"/>
        </w:rPr>
        <w:t>提升防灾减灾救灾能力。</w:t>
      </w:r>
      <w:r>
        <w:rPr>
          <w:rFonts w:hint="eastAsia" w:ascii="仿宋_GB2312" w:hAnsi="仿宋_GB2312" w:eastAsia="仿宋_GB2312" w:cs="仿宋_GB2312"/>
          <w:b w:val="0"/>
          <w:bCs/>
          <w:kern w:val="2"/>
          <w:sz w:val="32"/>
          <w:szCs w:val="32"/>
          <w:highlight w:val="none"/>
          <w:lang w:val="en-US" w:eastAsia="zh-CN" w:bidi="ar-SA"/>
        </w:rPr>
        <w:t>实施自然灾害监测预警信息化工程，提高多灾种和灾害链综合监测、风险早期识别和预报预警能力。</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352B0BD6">
      <w:pPr>
        <w:keepNext w:val="0"/>
        <w:keepLines w:val="0"/>
        <w:widowControl w:val="0"/>
        <w:suppressLineNumbers w:val="0"/>
        <w:adjustRightInd w:val="0"/>
        <w:snapToGrid w:val="0"/>
        <w:spacing w:before="0" w:beforeAutospacing="0" w:after="0" w:afterAutospacing="0" w:line="600" w:lineRule="exact"/>
        <w:ind w:left="0" w:right="0" w:firstLine="643"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Times New Roman" w:eastAsia="仿宋_GB2312" w:cs="仿宋_GB2312"/>
          <w:b/>
          <w:bCs w:val="0"/>
          <w:kern w:val="2"/>
          <w:sz w:val="32"/>
          <w:szCs w:val="32"/>
          <w:highlight w:val="none"/>
          <w:lang w:val="en-US" w:eastAsia="zh-CN" w:bidi="ar-SA"/>
        </w:rPr>
        <w:t>加强和改进信访工作。</w:t>
      </w:r>
      <w:r>
        <w:rPr>
          <w:rFonts w:hint="eastAsia" w:ascii="仿宋_GB2312" w:hAnsi="仿宋_GB2312" w:eastAsia="仿宋_GB2312" w:cs="仿宋_GB2312"/>
          <w:kern w:val="2"/>
          <w:sz w:val="32"/>
          <w:szCs w:val="32"/>
          <w:highlight w:val="none"/>
          <w:lang w:val="en-US" w:eastAsia="zh-CN" w:bidi="ar-SA"/>
        </w:rPr>
        <w:t>畅通诉求表达渠道，发挥基层调处功能，加强信</w:t>
      </w:r>
      <w:r>
        <w:rPr>
          <w:rFonts w:hint="eastAsia" w:ascii="仿宋_GB2312" w:hAnsi="仿宋_GB2312" w:cs="仿宋_GB2312"/>
          <w:kern w:val="2"/>
          <w:sz w:val="32"/>
          <w:szCs w:val="32"/>
          <w:highlight w:val="none"/>
          <w:lang w:val="en-US" w:eastAsia="zh-CN" w:bidi="ar-SA"/>
        </w:rPr>
        <w:t>访矛盾</w:t>
      </w:r>
      <w:r>
        <w:rPr>
          <w:rFonts w:hint="eastAsia" w:ascii="仿宋_GB2312" w:hAnsi="仿宋_GB2312" w:eastAsia="仿宋_GB2312" w:cs="仿宋_GB2312"/>
          <w:kern w:val="2"/>
          <w:sz w:val="32"/>
          <w:szCs w:val="32"/>
          <w:highlight w:val="none"/>
          <w:lang w:val="en-US" w:eastAsia="zh-CN" w:bidi="ar-SA"/>
        </w:rPr>
        <w:t>提早发现</w:t>
      </w:r>
      <w:r>
        <w:rPr>
          <w:rFonts w:hint="eastAsia" w:ascii="仿宋_GB2312" w:hAnsi="仿宋_GB2312" w:cs="仿宋_GB2312"/>
          <w:kern w:val="2"/>
          <w:sz w:val="32"/>
          <w:szCs w:val="32"/>
          <w:highlight w:val="none"/>
          <w:lang w:val="en-US" w:eastAsia="zh-CN" w:bidi="ar-SA"/>
        </w:rPr>
        <w:t>、提早</w:t>
      </w:r>
      <w:r>
        <w:rPr>
          <w:rFonts w:hint="eastAsia" w:ascii="仿宋_GB2312" w:hAnsi="仿宋_GB2312" w:eastAsia="仿宋_GB2312" w:cs="仿宋_GB2312"/>
          <w:kern w:val="2"/>
          <w:sz w:val="32"/>
          <w:szCs w:val="32"/>
          <w:highlight w:val="none"/>
          <w:lang w:val="en-US" w:eastAsia="zh-CN" w:bidi="ar-SA"/>
        </w:rPr>
        <w:t>预测</w:t>
      </w:r>
      <w:r>
        <w:rPr>
          <w:rFonts w:hint="eastAsia" w:ascii="仿宋_GB2312" w:hAnsi="仿宋_GB2312" w:cs="仿宋_GB2312"/>
          <w:kern w:val="2"/>
          <w:sz w:val="32"/>
          <w:szCs w:val="32"/>
          <w:highlight w:val="none"/>
          <w:lang w:val="en-US" w:eastAsia="zh-CN" w:bidi="ar-SA"/>
        </w:rPr>
        <w:t>、提早处置</w:t>
      </w:r>
      <w:r>
        <w:rPr>
          <w:rFonts w:hint="eastAsia" w:ascii="仿宋_GB2312" w:hAnsi="仿宋_GB2312" w:eastAsia="仿宋_GB2312" w:cs="仿宋_GB2312"/>
          <w:kern w:val="2"/>
          <w:sz w:val="32"/>
          <w:szCs w:val="32"/>
          <w:highlight w:val="none"/>
          <w:lang w:val="en-US" w:eastAsia="zh-CN" w:bidi="ar-SA"/>
        </w:rPr>
        <w:t>。</w:t>
      </w:r>
    </w:p>
    <w:p w14:paraId="3B2E2D8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5D2C42CE">
      <w:pPr>
        <w:pStyle w:val="2"/>
        <w:spacing w:before="312" w:after="312" w:line="600" w:lineRule="exact"/>
        <w:rPr>
          <w:color w:val="000000" w:themeColor="text1"/>
          <w14:textFill>
            <w14:solidFill>
              <w14:schemeClr w14:val="tx1"/>
            </w14:solidFill>
          </w14:textFill>
        </w:rPr>
      </w:pPr>
      <w:bookmarkStart w:id="570" w:name="_Toc15725"/>
      <w:r>
        <w:rPr>
          <w:rFonts w:hint="eastAsia"/>
          <w:color w:val="000000" w:themeColor="text1"/>
          <w14:textFill>
            <w14:solidFill>
              <w14:schemeClr w14:val="tx1"/>
            </w14:solidFill>
          </w14:textFill>
        </w:rPr>
        <w:t>第十二章 凝聚发展共识，保障“十五五”规划顺利实施</w:t>
      </w:r>
      <w:bookmarkEnd w:id="498"/>
      <w:bookmarkEnd w:id="570"/>
    </w:p>
    <w:p w14:paraId="0EF20E2B">
      <w:pPr>
        <w:spacing w:line="600" w:lineRule="exact"/>
        <w:ind w:firstLine="640" w:firstLineChars="200"/>
        <w:outlineLvl w:val="9"/>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坚持党的全面领导，健全实施保障机制，强化政策协调保障，形成全社会共同实施规划的强大合力。</w:t>
      </w:r>
    </w:p>
    <w:p w14:paraId="3CF752BF">
      <w:pPr>
        <w:pStyle w:val="3"/>
        <w:spacing w:before="156" w:after="156" w:line="600" w:lineRule="exact"/>
        <w:ind w:firstLine="0" w:firstLineChars="0"/>
        <w:outlineLvl w:val="1"/>
        <w:rPr>
          <w:color w:val="000000" w:themeColor="text1"/>
          <w14:textFill>
            <w14:solidFill>
              <w14:schemeClr w14:val="tx1"/>
            </w14:solidFill>
          </w14:textFill>
        </w:rPr>
      </w:pPr>
      <w:bookmarkStart w:id="571" w:name="_Toc211154037"/>
      <w:bookmarkStart w:id="572" w:name="_Toc19732"/>
      <w:r>
        <w:rPr>
          <w:rFonts w:hint="eastAsia"/>
          <w:color w:val="000000" w:themeColor="text1"/>
          <w14:textFill>
            <w14:solidFill>
              <w14:schemeClr w14:val="tx1"/>
            </w14:solidFill>
          </w14:textFill>
        </w:rPr>
        <w:t xml:space="preserve">第一节 </w:t>
      </w:r>
      <w:r>
        <w:rPr>
          <w:color w:val="000000" w:themeColor="text1"/>
          <w14:textFill>
            <w14:solidFill>
              <w14:schemeClr w14:val="tx1"/>
            </w14:solidFill>
          </w14:textFill>
        </w:rPr>
        <w:t>坚持党的集中统一领导</w:t>
      </w:r>
      <w:bookmarkEnd w:id="571"/>
      <w:bookmarkEnd w:id="572"/>
    </w:p>
    <w:p w14:paraId="45F6276E">
      <w:pPr>
        <w:spacing w:line="600" w:lineRule="exact"/>
        <w:ind w:firstLine="640" w:firstLineChars="200"/>
        <w:outlineLvl w:val="9"/>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完善党领导经济社会发展的制度性安排，发挥党委在同级各类组织中的领导作用，贯彻党把方向、谋大局、定政策、促改革的要求，确保党委始终在规划全过程中担大梁。</w:t>
      </w:r>
    </w:p>
    <w:p w14:paraId="64A3C692">
      <w:pPr>
        <w:spacing w:line="600" w:lineRule="exact"/>
        <w:ind w:firstLine="643" w:firstLineChars="200"/>
        <w:outlineLvl w:val="9"/>
        <w:rPr>
          <w:rFonts w:hint="eastAsia" w:ascii="仿宋_GB2312" w:hAnsi="仿宋_GB2312" w:eastAsia="仿宋_GB2312" w:cs="仿宋_GB2312"/>
        </w:rPr>
      </w:pPr>
      <w:r>
        <w:rPr>
          <w:rFonts w:hint="eastAsia" w:ascii="仿宋_GB2312" w:hAnsi="仿宋_GB2312" w:eastAsia="仿宋_GB2312" w:cs="仿宋_GB2312"/>
          <w:b/>
          <w:bCs/>
        </w:rPr>
        <w:t>发挥各级党组织领导核心作用。</w:t>
      </w:r>
      <w:r>
        <w:rPr>
          <w:rFonts w:hint="eastAsia" w:ascii="仿宋_GB2312" w:hAnsi="仿宋_GB2312" w:eastAsia="仿宋_GB2312" w:cs="仿宋_GB2312"/>
        </w:rPr>
        <w:t>加强区委对全区经济社会发展各项工作的领导，定期研究经济社会发展战略、分析经济形势、制定重大政策</w:t>
      </w:r>
      <w:r>
        <w:rPr>
          <w:rFonts w:hint="eastAsia" w:hAnsi="仿宋_GB2312" w:cs="仿宋_GB2312"/>
          <w:lang w:val="en-US" w:eastAsia="zh-CN"/>
        </w:rPr>
        <w:t>措施</w:t>
      </w:r>
      <w:r>
        <w:rPr>
          <w:rFonts w:hint="eastAsia" w:ascii="仿宋_GB2312" w:hAnsi="仿宋_GB2312" w:eastAsia="仿宋_GB2312" w:cs="仿宋_GB2312"/>
        </w:rPr>
        <w:t>。充分发挥党建引领作用，依托各级党组织发动广大党员在重点</w:t>
      </w:r>
      <w:r>
        <w:rPr>
          <w:rFonts w:hint="eastAsia" w:hAnsi="仿宋_GB2312" w:cs="仿宋_GB2312"/>
          <w:lang w:val="en-US" w:eastAsia="zh-CN"/>
        </w:rPr>
        <w:t>任务</w:t>
      </w:r>
      <w:r>
        <w:rPr>
          <w:rFonts w:hint="eastAsia" w:ascii="仿宋_GB2312" w:hAnsi="仿宋_GB2312" w:eastAsia="仿宋_GB2312" w:cs="仿宋_GB2312"/>
        </w:rPr>
        <w:t>推进中冲锋在前、示范引领</w:t>
      </w:r>
      <w:r>
        <w:rPr>
          <w:rFonts w:hint="eastAsia" w:hAnsi="仿宋_GB2312" w:cs="仿宋_GB2312"/>
          <w:lang w:eastAsia="zh-CN"/>
        </w:rPr>
        <w:t>，</w:t>
      </w:r>
      <w:r>
        <w:rPr>
          <w:rFonts w:hint="eastAsia" w:ascii="仿宋_GB2312" w:hAnsi="仿宋_GB2312" w:eastAsia="仿宋_GB2312" w:cs="仿宋_GB2312"/>
        </w:rPr>
        <w:t>营造风清气正的政治生态，以党建引领各项事业发展。</w:t>
      </w:r>
    </w:p>
    <w:p w14:paraId="37A9684A">
      <w:pPr>
        <w:spacing w:line="600" w:lineRule="exact"/>
        <w:ind w:firstLine="643" w:firstLineChars="200"/>
        <w:outlineLvl w:val="9"/>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rPr>
        <w:t>畅通民主沟通渠道。</w:t>
      </w:r>
      <w:r>
        <w:rPr>
          <w:rFonts w:hint="eastAsia" w:ascii="仿宋_GB2312" w:hAnsi="仿宋_GB2312" w:eastAsia="仿宋_GB2312" w:cs="仿宋_GB2312"/>
        </w:rPr>
        <w:t>充分发扬全过程民主，继续提升人民群众当家作主地位，通过制度化渠道保障群众有序参与社会治理和公共决策，有效保障人民知情权、参与权、表达权、监督权。</w:t>
      </w:r>
      <w:r>
        <w:rPr>
          <w:rFonts w:hint="eastAsia" w:hAnsi="仿宋_GB2312" w:cs="仿宋_GB2312"/>
          <w:lang w:val="en-US" w:eastAsia="zh-CN"/>
        </w:rPr>
        <w:t>坚持</w:t>
      </w:r>
      <w:r>
        <w:rPr>
          <w:rFonts w:hint="eastAsia" w:ascii="仿宋_GB2312" w:hAnsi="仿宋_GB2312" w:eastAsia="仿宋_GB2312" w:cs="仿宋_GB2312"/>
        </w:rPr>
        <w:t>党的群众路线，进一步畅通社会各界人士沟通渠道，构建多元化民意反馈和问题解决机制</w:t>
      </w:r>
      <w:r>
        <w:rPr>
          <w:rFonts w:hint="eastAsia" w:ascii="仿宋_GB2312" w:hAnsi="仿宋_GB2312" w:eastAsia="仿宋_GB2312" w:cs="仿宋_GB2312"/>
          <w:color w:val="000000" w:themeColor="text1"/>
          <w14:textFill>
            <w14:solidFill>
              <w14:schemeClr w14:val="tx1"/>
            </w14:solidFill>
          </w14:textFill>
        </w:rPr>
        <w:t>。</w:t>
      </w:r>
    </w:p>
    <w:p w14:paraId="55AFB046">
      <w:pPr>
        <w:pStyle w:val="3"/>
        <w:spacing w:before="156" w:after="156" w:line="600" w:lineRule="exact"/>
        <w:ind w:firstLine="0" w:firstLineChars="0"/>
        <w:outlineLvl w:val="1"/>
        <w:rPr>
          <w:color w:val="000000" w:themeColor="text1"/>
          <w14:textFill>
            <w14:solidFill>
              <w14:schemeClr w14:val="tx1"/>
            </w14:solidFill>
          </w14:textFill>
        </w:rPr>
      </w:pPr>
      <w:bookmarkStart w:id="573" w:name="_Toc3303"/>
      <w:bookmarkStart w:id="574" w:name="_Toc211154038"/>
      <w:r>
        <w:rPr>
          <w:rFonts w:hint="eastAsia"/>
          <w:color w:val="000000" w:themeColor="text1"/>
          <w14:textFill>
            <w14:solidFill>
              <w14:schemeClr w14:val="tx1"/>
            </w14:solidFill>
          </w14:textFill>
        </w:rPr>
        <w:t xml:space="preserve">第二节 </w:t>
      </w:r>
      <w:r>
        <w:rPr>
          <w:color w:val="000000" w:themeColor="text1"/>
          <w14:textFill>
            <w14:solidFill>
              <w14:schemeClr w14:val="tx1"/>
            </w14:solidFill>
          </w14:textFill>
        </w:rPr>
        <w:t>健全规划项目体系</w:t>
      </w:r>
      <w:bookmarkEnd w:id="573"/>
      <w:bookmarkEnd w:id="574"/>
    </w:p>
    <w:p w14:paraId="5EE56819">
      <w:pPr>
        <w:spacing w:line="600" w:lineRule="exact"/>
        <w:ind w:firstLine="640" w:firstLineChars="200"/>
        <w:outlineLvl w:val="9"/>
        <w:rPr>
          <w:rFonts w:hint="eastAsia" w:ascii="仿宋_GB2312" w:hAnsi="仿宋_GB2312" w:eastAsia="仿宋_GB2312" w:cs="仿宋_GB2312"/>
        </w:rPr>
      </w:pPr>
      <w:r>
        <w:rPr>
          <w:rFonts w:hint="eastAsia" w:ascii="仿宋_GB2312" w:hAnsi="仿宋_GB2312" w:eastAsia="仿宋_GB2312" w:cs="仿宋_GB2312"/>
        </w:rPr>
        <w:t>建立健全以</w:t>
      </w:r>
      <w:r>
        <w:rPr>
          <w:rFonts w:hint="eastAsia" w:hAnsi="仿宋_GB2312" w:cs="仿宋_GB2312"/>
          <w:lang w:val="en-US" w:eastAsia="zh-CN"/>
        </w:rPr>
        <w:t>发展</w:t>
      </w:r>
      <w:r>
        <w:rPr>
          <w:rFonts w:hint="eastAsia" w:ascii="仿宋_GB2312" w:hAnsi="仿宋_GB2312" w:eastAsia="仿宋_GB2312" w:cs="仿宋_GB2312"/>
        </w:rPr>
        <w:t>规划为统领、以国土空间规划为基础、以</w:t>
      </w:r>
      <w:r>
        <w:rPr>
          <w:rFonts w:hint="eastAsia" w:hAnsi="仿宋_GB2312" w:cs="仿宋_GB2312"/>
          <w:lang w:val="en-US" w:eastAsia="zh-CN"/>
        </w:rPr>
        <w:t>乡镇</w:t>
      </w:r>
      <w:r>
        <w:rPr>
          <w:rFonts w:hint="eastAsia" w:ascii="仿宋_GB2312" w:hAnsi="仿宋_GB2312" w:eastAsia="仿宋_GB2312" w:cs="仿宋_GB2312"/>
        </w:rPr>
        <w:t>规划为支撑</w:t>
      </w:r>
      <w:r>
        <w:rPr>
          <w:rFonts w:hint="eastAsia" w:hAnsi="仿宋_GB2312" w:cs="仿宋_GB2312"/>
          <w:lang w:eastAsia="zh-CN"/>
        </w:rPr>
        <w:t>、</w:t>
      </w:r>
      <w:r>
        <w:rPr>
          <w:rFonts w:hint="eastAsia" w:hAnsi="仿宋_GB2312" w:cs="仿宋_GB2312"/>
          <w:lang w:val="en-US" w:eastAsia="zh-CN"/>
        </w:rPr>
        <w:t>以专项规划为补充</w:t>
      </w:r>
      <w:r>
        <w:rPr>
          <w:rFonts w:hint="eastAsia" w:ascii="仿宋_GB2312" w:hAnsi="仿宋_GB2312" w:eastAsia="仿宋_GB2312" w:cs="仿宋_GB2312"/>
        </w:rPr>
        <w:t>的规划体系，加强与省、市规划相衔接，推动与各规划间相互补、相协调、相促进。</w:t>
      </w:r>
    </w:p>
    <w:p w14:paraId="14B69B95">
      <w:pPr>
        <w:spacing w:line="600" w:lineRule="exact"/>
        <w:ind w:firstLine="643" w:firstLineChars="200"/>
        <w:outlineLvl w:val="9"/>
        <w:rPr>
          <w:rFonts w:hint="eastAsia" w:ascii="仿宋_GB2312" w:hAnsi="仿宋_GB2312" w:eastAsia="仿宋_GB2312" w:cs="仿宋_GB2312"/>
        </w:rPr>
      </w:pPr>
      <w:r>
        <w:rPr>
          <w:rFonts w:hint="eastAsia" w:ascii="仿宋_GB2312" w:hAnsi="仿宋_GB2312" w:eastAsia="仿宋_GB2312" w:cs="仿宋_GB2312"/>
          <w:b/>
          <w:bCs/>
        </w:rPr>
        <w:t>强化发展规划的统领作用。</w:t>
      </w:r>
      <w:r>
        <w:rPr>
          <w:rFonts w:hint="eastAsia" w:ascii="仿宋_GB2312" w:hAnsi="仿宋_GB2312" w:eastAsia="仿宋_GB2312" w:cs="仿宋_GB2312"/>
        </w:rPr>
        <w:t>将发展规划作为全区经济社会发展的行动纲领</w:t>
      </w:r>
      <w:r>
        <w:rPr>
          <w:rFonts w:hint="eastAsia" w:ascii="仿宋_GB2312" w:hAnsi="仿宋_GB2312" w:cs="仿宋_GB2312"/>
          <w:lang w:eastAsia="zh-CN"/>
        </w:rPr>
        <w:t>，</w:t>
      </w:r>
      <w:r>
        <w:rPr>
          <w:rFonts w:hint="eastAsia" w:ascii="仿宋_GB2312" w:hAnsi="仿宋_GB2312" w:eastAsia="仿宋_GB2312" w:cs="仿宋_GB2312"/>
        </w:rPr>
        <w:t>服从服务于长春现代化都市圈，结合宽城区自身定位与实际建设，从宏观层面为各项工作与发展绘制清晰蓝图，为重点工作、重点项目的具体实施提供坚实的引领与导向。</w:t>
      </w:r>
    </w:p>
    <w:p w14:paraId="1C1AF9BF">
      <w:pPr>
        <w:spacing w:line="600" w:lineRule="exact"/>
        <w:ind w:firstLine="643" w:firstLineChars="200"/>
        <w:outlineLvl w:val="9"/>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rPr>
        <w:t>加强各项规划的衔接协调。</w:t>
      </w:r>
      <w:r>
        <w:rPr>
          <w:rFonts w:hint="eastAsia" w:ascii="仿宋_GB2312" w:hAnsi="仿宋_GB2312" w:eastAsia="仿宋_GB2312" w:cs="仿宋_GB2312"/>
        </w:rPr>
        <w:t>坚持规划备案管理机制，实现统一上报、统一备案管理</w:t>
      </w:r>
      <w:r>
        <w:rPr>
          <w:rFonts w:hint="eastAsia" w:ascii="仿宋_GB2312" w:hAnsi="仿宋_GB2312" w:cs="仿宋_GB2312"/>
          <w:lang w:eastAsia="zh-CN"/>
        </w:rPr>
        <w:t>，</w:t>
      </w:r>
      <w:r>
        <w:rPr>
          <w:rFonts w:hint="eastAsia" w:ascii="仿宋_GB2312" w:hAnsi="仿宋_GB2312" w:eastAsia="仿宋_GB2312" w:cs="仿宋_GB2312"/>
        </w:rPr>
        <w:t>确保各项规划在目标、布局、政策、任务、项目等方面相协调、相一致</w:t>
      </w:r>
      <w:r>
        <w:rPr>
          <w:rFonts w:hint="eastAsia" w:ascii="仿宋_GB2312" w:hAnsi="仿宋_GB2312" w:eastAsia="仿宋_GB2312" w:cs="仿宋_GB2312"/>
          <w:color w:val="000000" w:themeColor="text1"/>
          <w14:textFill>
            <w14:solidFill>
              <w14:schemeClr w14:val="tx1"/>
            </w14:solidFill>
          </w14:textFill>
        </w:rPr>
        <w:t>。</w:t>
      </w:r>
    </w:p>
    <w:p w14:paraId="45828C87">
      <w:pPr>
        <w:pStyle w:val="3"/>
        <w:spacing w:before="156" w:after="156" w:line="600" w:lineRule="exact"/>
        <w:ind w:firstLine="0" w:firstLineChars="0"/>
        <w:outlineLvl w:val="1"/>
        <w:rPr>
          <w:color w:val="000000" w:themeColor="text1"/>
          <w14:textFill>
            <w14:solidFill>
              <w14:schemeClr w14:val="tx1"/>
            </w14:solidFill>
          </w14:textFill>
        </w:rPr>
      </w:pPr>
      <w:bookmarkStart w:id="575" w:name="_Toc5769"/>
      <w:bookmarkStart w:id="576" w:name="_Toc211154039"/>
      <w:r>
        <w:rPr>
          <w:rFonts w:hint="eastAsia"/>
          <w:color w:val="000000" w:themeColor="text1"/>
          <w14:textFill>
            <w14:solidFill>
              <w14:schemeClr w14:val="tx1"/>
            </w14:solidFill>
          </w14:textFill>
        </w:rPr>
        <w:t xml:space="preserve">第三节 </w:t>
      </w:r>
      <w:r>
        <w:rPr>
          <w:color w:val="000000" w:themeColor="text1"/>
          <w14:textFill>
            <w14:solidFill>
              <w14:schemeClr w14:val="tx1"/>
            </w14:solidFill>
          </w14:textFill>
        </w:rPr>
        <w:t>完善规划实施保障机制</w:t>
      </w:r>
      <w:bookmarkEnd w:id="575"/>
      <w:bookmarkEnd w:id="576"/>
    </w:p>
    <w:p w14:paraId="162E3323">
      <w:pPr>
        <w:spacing w:line="600" w:lineRule="exact"/>
        <w:ind w:firstLine="640" w:firstLineChars="200"/>
        <w:outlineLvl w:val="9"/>
        <w:rPr>
          <w:rFonts w:hint="eastAsia" w:ascii="仿宋_GB2312" w:hAnsi="仿宋_GB2312" w:eastAsia="仿宋_GB2312" w:cs="仿宋_GB2312"/>
        </w:rPr>
      </w:pPr>
      <w:r>
        <w:rPr>
          <w:rFonts w:hint="eastAsia" w:ascii="仿宋_GB2312" w:hAnsi="仿宋_GB2312" w:eastAsia="仿宋_GB2312" w:cs="仿宋_GB2312"/>
        </w:rPr>
        <w:t>精准对接国家东北振兴战略</w:t>
      </w:r>
      <w:r>
        <w:rPr>
          <w:rFonts w:hint="eastAsia" w:ascii="仿宋_GB2312" w:hAnsi="仿宋_GB2312" w:cs="仿宋_GB2312"/>
          <w:lang w:eastAsia="zh-CN"/>
        </w:rPr>
        <w:t>、</w:t>
      </w:r>
      <w:r>
        <w:rPr>
          <w:rFonts w:hint="eastAsia" w:ascii="仿宋_GB2312" w:hAnsi="仿宋_GB2312" w:eastAsia="仿宋_GB2312" w:cs="仿宋_GB2312"/>
        </w:rPr>
        <w:t>吉林省高质量发展布局</w:t>
      </w:r>
      <w:r>
        <w:rPr>
          <w:rFonts w:hint="eastAsia" w:hAnsi="仿宋_GB2312" w:cs="仿宋_GB2312"/>
          <w:lang w:val="en-US" w:eastAsia="zh-CN"/>
        </w:rPr>
        <w:t>和长春现代化都市圈建设战略</w:t>
      </w:r>
      <w:r>
        <w:rPr>
          <w:rFonts w:hint="eastAsia" w:ascii="仿宋_GB2312" w:hAnsi="仿宋_GB2312" w:eastAsia="仿宋_GB2312" w:cs="仿宋_GB2312"/>
        </w:rPr>
        <w:t>，构建多维政策支撑体系，以体制机制建设保障规划长期有效。</w:t>
      </w:r>
    </w:p>
    <w:p w14:paraId="37328116">
      <w:pPr>
        <w:spacing w:line="600" w:lineRule="exact"/>
        <w:ind w:firstLine="643" w:firstLineChars="200"/>
        <w:outlineLvl w:val="9"/>
        <w:rPr>
          <w:rFonts w:hint="eastAsia" w:ascii="仿宋_GB2312" w:hAnsi="仿宋_GB2312" w:eastAsia="仿宋_GB2312" w:cs="仿宋_GB2312"/>
        </w:rPr>
      </w:pPr>
      <w:r>
        <w:rPr>
          <w:rFonts w:hint="eastAsia" w:ascii="仿宋_GB2312" w:hAnsi="仿宋_GB2312" w:eastAsia="仿宋_GB2312" w:cs="仿宋_GB2312"/>
          <w:b/>
          <w:bCs/>
        </w:rPr>
        <w:t>加强政策协调保障。</w:t>
      </w:r>
      <w:r>
        <w:rPr>
          <w:rFonts w:hint="eastAsia" w:ascii="仿宋_GB2312" w:hAnsi="仿宋_GB2312" w:eastAsia="仿宋_GB2312" w:cs="仿宋_GB2312"/>
        </w:rPr>
        <w:t>深入落实国家关于东北振兴战略、吉林省促进经济高质量发展、长春市建设现代</w:t>
      </w:r>
      <w:r>
        <w:rPr>
          <w:rFonts w:hint="eastAsia" w:hAnsi="仿宋_GB2312" w:cs="仿宋_GB2312"/>
          <w:lang w:val="en-US" w:eastAsia="zh-CN"/>
        </w:rPr>
        <w:t>化</w:t>
      </w:r>
      <w:r>
        <w:rPr>
          <w:rFonts w:hint="eastAsia" w:ascii="仿宋_GB2312" w:hAnsi="仿宋_GB2312" w:eastAsia="仿宋_GB2312" w:cs="仿宋_GB2312"/>
        </w:rPr>
        <w:t>都市圈战略</w:t>
      </w:r>
      <w:r>
        <w:rPr>
          <w:rFonts w:hint="eastAsia" w:hAnsi="仿宋_GB2312" w:cs="仿宋_GB2312"/>
          <w:lang w:eastAsia="zh-CN"/>
        </w:rPr>
        <w:t>，</w:t>
      </w:r>
      <w:bookmarkStart w:id="577" w:name="_GoBack"/>
      <w:bookmarkEnd w:id="577"/>
      <w:r>
        <w:rPr>
          <w:rFonts w:hint="eastAsia" w:ascii="仿宋_GB2312" w:hAnsi="仿宋_GB2312" w:eastAsia="仿宋_GB2312" w:cs="仿宋_GB2312"/>
        </w:rPr>
        <w:t>配套出台政策举措，构建起规划与政策协调联动机制，及时将党中央和省市决策部分转化为具体行动方案，确保规划体系科学性与执行力同步提升。</w:t>
      </w:r>
    </w:p>
    <w:p w14:paraId="2FE89265">
      <w:pPr>
        <w:spacing w:line="600" w:lineRule="exact"/>
        <w:ind w:firstLine="643" w:firstLineChars="200"/>
        <w:outlineLvl w:val="9"/>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rPr>
        <w:t>健全规划实施与评估机制。</w:t>
      </w:r>
      <w:r>
        <w:rPr>
          <w:rFonts w:hint="eastAsia" w:ascii="仿宋_GB2312" w:hAnsi="仿宋_GB2312" w:eastAsia="仿宋_GB2312" w:cs="仿宋_GB2312"/>
        </w:rPr>
        <w:t>加强对本规划实施的组织、协调和督导检查，对规划确定的约束性指标、重大工程项目、重大任务举措</w:t>
      </w:r>
      <w:r>
        <w:rPr>
          <w:rFonts w:hint="eastAsia" w:hAnsi="仿宋_GB2312" w:cs="仿宋_GB2312"/>
          <w:lang w:eastAsia="zh-CN"/>
        </w:rPr>
        <w:t>，</w:t>
      </w:r>
      <w:r>
        <w:rPr>
          <w:rFonts w:hint="eastAsia" w:ascii="仿宋_GB2312" w:hAnsi="仿宋_GB2312" w:eastAsia="仿宋_GB2312" w:cs="仿宋_GB2312"/>
        </w:rPr>
        <w:t>明确责任主体和时限进度，确保如期开展、如期完成。结合实施年度计划，将本规划确定的目标、任务和项目纳入其中，分解成年度目标和任务。</w:t>
      </w:r>
    </w:p>
    <w:p w14:paraId="3228D49A">
      <w:pPr>
        <w:spacing w:line="600" w:lineRule="exact"/>
        <w:ind w:firstLine="640" w:firstLineChars="200"/>
        <w:outlineLvl w:val="9"/>
        <w:rPr>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新征程使命在肩，新蓝图催人奋进。全区上下要高举中国特色社会主义伟大旗帜，以更高站位融入中国式现代化建设大局，以更实举措破解发展瓶颈，以更大魄力深化改革攻坚，为谱写宽城全面振兴全方位振兴新篇章而不懈奋斗</w:t>
      </w:r>
      <w:r>
        <w:rPr>
          <w:rFonts w:hint="eastAsia" w:hAnsi="仿宋_GB2312" w:cs="仿宋_GB2312"/>
          <w:color w:val="000000" w:themeColor="text1"/>
          <w:lang w:eastAsia="zh-CN"/>
          <w14:textFill>
            <w14:solidFill>
              <w14:schemeClr w14:val="tx1"/>
            </w14:solidFill>
          </w14:textFill>
        </w:rPr>
        <w:t>！</w:t>
      </w:r>
      <w:bookmarkEnd w:id="499"/>
      <w:bookmarkEnd w:id="500"/>
      <w:bookmarkEnd w:id="501"/>
      <w:bookmarkEnd w:id="502"/>
      <w:bookmarkEnd w:id="503"/>
      <w:bookmarkEnd w:id="504"/>
      <w:bookmarkEnd w:id="505"/>
      <w:bookmarkEnd w:id="506"/>
      <w:bookmarkEnd w:id="507"/>
      <w:bookmarkEnd w:id="508"/>
    </w:p>
    <w:sectPr>
      <w:headerReference r:id="rId5" w:type="default"/>
      <w:footerReference r:id="rId6" w:type="default"/>
      <w:footnotePr>
        <w:numFmt w:val="decimalEnclosedCircleChinese"/>
        <w:numRestart w:val="eachPage"/>
      </w:footnotePr>
      <w:pgSz w:w="11906" w:h="16838"/>
      <w:pgMar w:top="2098" w:right="1474" w:bottom="1984" w:left="1587" w:header="851" w:footer="992" w:gutter="0"/>
      <w:pgNumType w:fmt="decimal" w:start="1"/>
      <w:cols w:space="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355DD3-59E5-4754-B41D-72AD958A28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FD4212F-727E-4A27-B8FE-A1D6CEB5A3D2}"/>
  </w:font>
  <w:font w:name="楷体">
    <w:panose1 w:val="02010609060101010101"/>
    <w:charset w:val="86"/>
    <w:family w:val="auto"/>
    <w:pitch w:val="default"/>
    <w:sig w:usb0="800002BF" w:usb1="38CF7CFA" w:usb2="00000016" w:usb3="00000000" w:csb0="00040001" w:csb1="00000000"/>
    <w:embedRegular r:id="rId3" w:fontKey="{CEB06C4E-7131-4EEC-AA80-6794817E475D}"/>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4" w:fontKey="{10290B3D-9B03-4A39-8C2B-713616814C58}"/>
  </w:font>
  <w:font w:name="楷体_GB2312">
    <w:panose1 w:val="02010609030101010101"/>
    <w:charset w:val="86"/>
    <w:family w:val="modern"/>
    <w:pitch w:val="default"/>
    <w:sig w:usb0="00000001" w:usb1="080E0000" w:usb2="00000000" w:usb3="00000000" w:csb0="00040000" w:csb1="00000000"/>
    <w:embedRegular r:id="rId5" w:fontKey="{D731FE62-3962-4D9D-B7E6-694ECE4A16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2797">
    <w:pPr>
      <w:tabs>
        <w:tab w:val="center" w:pos="4153"/>
        <w:tab w:val="right" w:pos="8306"/>
      </w:tabs>
      <w:ind w:firstLine="36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7E8BEB">
                          <w:pPr>
                            <w:tabs>
                              <w:tab w:val="center" w:pos="4153"/>
                              <w:tab w:val="right" w:pos="8306"/>
                            </w:tabs>
                            <w:ind w:firstLine="640"/>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kxETLAQAAkg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9jY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QpMREywEAAJIDAAAOAAAAAAAAAAEAIAAAAB8BAABkcnMvZTJv&#10;RG9jLnhtbFBLBQYAAAAABgAGAFkBAABcBQAAAAA=&#10;">
              <v:fill on="f" focussize="0,0"/>
              <v:stroke on="f"/>
              <v:imagedata o:title=""/>
              <o:lock v:ext="edit" aspectratio="f"/>
              <v:textbox inset="0mm,0mm,0mm,0mm" style="mso-fit-shape-to-text:t;">
                <w:txbxContent>
                  <w:p w14:paraId="077E8BEB">
                    <w:pPr>
                      <w:tabs>
                        <w:tab w:val="center" w:pos="4153"/>
                        <w:tab w:val="right" w:pos="8306"/>
                      </w:tabs>
                      <w:ind w:firstLine="64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36081">
    <w:pPr>
      <w:tabs>
        <w:tab w:val="center" w:pos="4153"/>
        <w:tab w:val="right" w:pos="8306"/>
      </w:tabs>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lvlText w:val="第%1章"/>
      <w:lvlJc w:val="left"/>
      <w:pPr>
        <w:tabs>
          <w:tab w:val="left" w:pos="420"/>
        </w:tabs>
        <w:ind w:left="432" w:hanging="432"/>
      </w:pPr>
      <w:rPr>
        <w:rFonts w:hint="eastAsia" w:ascii="宋体" w:hAnsi="宋体" w:eastAsia="宋体" w:cs="宋体"/>
        <w:sz w:val="36"/>
        <w:szCs w:val="36"/>
      </w:rPr>
    </w:lvl>
    <w:lvl w:ilvl="1" w:tentative="0">
      <w:start w:val="1"/>
      <w:numFmt w:val="decimal"/>
      <w:isLgl/>
      <w:lvlText w:val="%1.%2."/>
      <w:lvlJc w:val="left"/>
      <w:pPr>
        <w:tabs>
          <w:tab w:val="left" w:pos="420"/>
        </w:tabs>
        <w:ind w:left="575" w:hanging="575"/>
      </w:pPr>
      <w:rPr>
        <w:rFonts w:hint="eastAsia" w:ascii="宋体" w:hAnsi="宋体" w:eastAsia="宋体" w:cs="宋体"/>
        <w:sz w:val="30"/>
        <w:szCs w:val="30"/>
      </w:rPr>
    </w:lvl>
    <w:lvl w:ilvl="2" w:tentative="0">
      <w:start w:val="1"/>
      <w:numFmt w:val="decimal"/>
      <w:isLgl/>
      <w:lvlText w:val="%1.%2.%3."/>
      <w:lvlJc w:val="left"/>
      <w:pPr>
        <w:ind w:left="720" w:hanging="720"/>
      </w:pPr>
      <w:rPr>
        <w:rFonts w:hint="eastAsia" w:ascii="宋体" w:hAnsi="宋体" w:eastAsia="宋体" w:cs="宋体"/>
        <w:sz w:val="28"/>
        <w:szCs w:val="28"/>
      </w:rPr>
    </w:lvl>
    <w:lvl w:ilvl="3" w:tentative="0">
      <w:start w:val="1"/>
      <w:numFmt w:val="decimal"/>
      <w:isLgl/>
      <w:lvlText w:val="%1.%2.%3.%4."/>
      <w:lvlJc w:val="left"/>
      <w:pPr>
        <w:tabs>
          <w:tab w:val="left" w:pos="420"/>
        </w:tabs>
        <w:ind w:left="864" w:hanging="864"/>
      </w:pPr>
      <w:rPr>
        <w:rFonts w:hint="eastAsia" w:ascii="宋体" w:hAnsi="宋体" w:eastAsia="宋体" w:cs="宋体"/>
      </w:rPr>
    </w:lvl>
    <w:lvl w:ilvl="4" w:tentative="0">
      <w:start w:val="1"/>
      <w:numFmt w:val="decimal"/>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8C1"/>
    <w:rsid w:val="001341AC"/>
    <w:rsid w:val="00141CA6"/>
    <w:rsid w:val="001428C9"/>
    <w:rsid w:val="00172A27"/>
    <w:rsid w:val="001A42E9"/>
    <w:rsid w:val="00202E81"/>
    <w:rsid w:val="00235EA8"/>
    <w:rsid w:val="00296F3E"/>
    <w:rsid w:val="002C086C"/>
    <w:rsid w:val="00350671"/>
    <w:rsid w:val="003A0914"/>
    <w:rsid w:val="00481283"/>
    <w:rsid w:val="004912CB"/>
    <w:rsid w:val="004F5588"/>
    <w:rsid w:val="0050638A"/>
    <w:rsid w:val="00516926"/>
    <w:rsid w:val="005169AE"/>
    <w:rsid w:val="00637E33"/>
    <w:rsid w:val="006525A6"/>
    <w:rsid w:val="00690800"/>
    <w:rsid w:val="006D1244"/>
    <w:rsid w:val="00742462"/>
    <w:rsid w:val="00744072"/>
    <w:rsid w:val="00820A0E"/>
    <w:rsid w:val="00847DE1"/>
    <w:rsid w:val="009337AE"/>
    <w:rsid w:val="00956BD1"/>
    <w:rsid w:val="00971104"/>
    <w:rsid w:val="00991271"/>
    <w:rsid w:val="009A4191"/>
    <w:rsid w:val="009B5238"/>
    <w:rsid w:val="009C15CF"/>
    <w:rsid w:val="009C64F5"/>
    <w:rsid w:val="00A163E9"/>
    <w:rsid w:val="00A51882"/>
    <w:rsid w:val="00A702C6"/>
    <w:rsid w:val="00A81D22"/>
    <w:rsid w:val="00A82793"/>
    <w:rsid w:val="00AD558A"/>
    <w:rsid w:val="00AF1302"/>
    <w:rsid w:val="00B2494E"/>
    <w:rsid w:val="00B25DFB"/>
    <w:rsid w:val="00B5562E"/>
    <w:rsid w:val="00BC3A1F"/>
    <w:rsid w:val="00BE32F3"/>
    <w:rsid w:val="00BE7797"/>
    <w:rsid w:val="00C34DAD"/>
    <w:rsid w:val="00CF479B"/>
    <w:rsid w:val="00D20B4D"/>
    <w:rsid w:val="00D217B8"/>
    <w:rsid w:val="00D2228D"/>
    <w:rsid w:val="00D43CC2"/>
    <w:rsid w:val="00D92D1A"/>
    <w:rsid w:val="00E0770D"/>
    <w:rsid w:val="00E15234"/>
    <w:rsid w:val="00E75A75"/>
    <w:rsid w:val="00EF5BA6"/>
    <w:rsid w:val="00F74A57"/>
    <w:rsid w:val="00FA5D93"/>
    <w:rsid w:val="00FC0BC9"/>
    <w:rsid w:val="0101424F"/>
    <w:rsid w:val="0103201C"/>
    <w:rsid w:val="01042CD0"/>
    <w:rsid w:val="01121CE6"/>
    <w:rsid w:val="01154EDD"/>
    <w:rsid w:val="01172A03"/>
    <w:rsid w:val="0119677B"/>
    <w:rsid w:val="011B0B5F"/>
    <w:rsid w:val="011E3D92"/>
    <w:rsid w:val="01207B0A"/>
    <w:rsid w:val="012308D6"/>
    <w:rsid w:val="012670EA"/>
    <w:rsid w:val="012A0989"/>
    <w:rsid w:val="012F41F1"/>
    <w:rsid w:val="01473180"/>
    <w:rsid w:val="014D2856"/>
    <w:rsid w:val="014D28C9"/>
    <w:rsid w:val="014F22B3"/>
    <w:rsid w:val="01550828"/>
    <w:rsid w:val="015754F6"/>
    <w:rsid w:val="01585107"/>
    <w:rsid w:val="015E59BA"/>
    <w:rsid w:val="01633549"/>
    <w:rsid w:val="017442FA"/>
    <w:rsid w:val="01774D67"/>
    <w:rsid w:val="017B11E4"/>
    <w:rsid w:val="018856AF"/>
    <w:rsid w:val="019E29C4"/>
    <w:rsid w:val="01AF70E0"/>
    <w:rsid w:val="01B23139"/>
    <w:rsid w:val="01B3603C"/>
    <w:rsid w:val="01BC656B"/>
    <w:rsid w:val="01CA21D3"/>
    <w:rsid w:val="01CA3F1A"/>
    <w:rsid w:val="01CC15A3"/>
    <w:rsid w:val="01CD2237"/>
    <w:rsid w:val="01D34B7C"/>
    <w:rsid w:val="01D9415D"/>
    <w:rsid w:val="01E92DC0"/>
    <w:rsid w:val="01EE432C"/>
    <w:rsid w:val="01FE6E88"/>
    <w:rsid w:val="02021905"/>
    <w:rsid w:val="02040F47"/>
    <w:rsid w:val="02123D70"/>
    <w:rsid w:val="02161458"/>
    <w:rsid w:val="02184C85"/>
    <w:rsid w:val="022B5FEF"/>
    <w:rsid w:val="02313F99"/>
    <w:rsid w:val="023429CE"/>
    <w:rsid w:val="024164DA"/>
    <w:rsid w:val="02427F54"/>
    <w:rsid w:val="02443CCC"/>
    <w:rsid w:val="024E4B4B"/>
    <w:rsid w:val="0250621C"/>
    <w:rsid w:val="025E7EF8"/>
    <w:rsid w:val="02626F54"/>
    <w:rsid w:val="02663C42"/>
    <w:rsid w:val="026E6F9B"/>
    <w:rsid w:val="02852A87"/>
    <w:rsid w:val="02886DC8"/>
    <w:rsid w:val="02A4476B"/>
    <w:rsid w:val="02A93B2F"/>
    <w:rsid w:val="02BC6E06"/>
    <w:rsid w:val="02BF15A4"/>
    <w:rsid w:val="02BF2213"/>
    <w:rsid w:val="02C10E79"/>
    <w:rsid w:val="02EE3C38"/>
    <w:rsid w:val="02F95E86"/>
    <w:rsid w:val="02FB177F"/>
    <w:rsid w:val="02FC1E71"/>
    <w:rsid w:val="03063F0D"/>
    <w:rsid w:val="030E0F22"/>
    <w:rsid w:val="03191311"/>
    <w:rsid w:val="03200295"/>
    <w:rsid w:val="032363A9"/>
    <w:rsid w:val="032F672A"/>
    <w:rsid w:val="033863FB"/>
    <w:rsid w:val="0346596A"/>
    <w:rsid w:val="035B13D9"/>
    <w:rsid w:val="035B4572"/>
    <w:rsid w:val="0361440A"/>
    <w:rsid w:val="037405E1"/>
    <w:rsid w:val="037B196F"/>
    <w:rsid w:val="0388408C"/>
    <w:rsid w:val="038B1487"/>
    <w:rsid w:val="038D51FF"/>
    <w:rsid w:val="039842CF"/>
    <w:rsid w:val="03A013D6"/>
    <w:rsid w:val="03A06584"/>
    <w:rsid w:val="03B629A7"/>
    <w:rsid w:val="03C274DB"/>
    <w:rsid w:val="03D046EB"/>
    <w:rsid w:val="03D32716"/>
    <w:rsid w:val="03D876B7"/>
    <w:rsid w:val="03D90444"/>
    <w:rsid w:val="03E8080C"/>
    <w:rsid w:val="03EC2B7B"/>
    <w:rsid w:val="03EE2141"/>
    <w:rsid w:val="03EE3712"/>
    <w:rsid w:val="03F57016"/>
    <w:rsid w:val="03FB660C"/>
    <w:rsid w:val="03FD05D6"/>
    <w:rsid w:val="04043713"/>
    <w:rsid w:val="04096F7B"/>
    <w:rsid w:val="04174CC4"/>
    <w:rsid w:val="041D3F2D"/>
    <w:rsid w:val="042913CB"/>
    <w:rsid w:val="04363AE8"/>
    <w:rsid w:val="043C4ED8"/>
    <w:rsid w:val="043F0BEF"/>
    <w:rsid w:val="04467D92"/>
    <w:rsid w:val="04493917"/>
    <w:rsid w:val="044C0B64"/>
    <w:rsid w:val="0458580D"/>
    <w:rsid w:val="045F16FF"/>
    <w:rsid w:val="046046C1"/>
    <w:rsid w:val="046B19E4"/>
    <w:rsid w:val="04763EE5"/>
    <w:rsid w:val="047721A5"/>
    <w:rsid w:val="047B118C"/>
    <w:rsid w:val="04862779"/>
    <w:rsid w:val="048760F2"/>
    <w:rsid w:val="04877EA0"/>
    <w:rsid w:val="04935CE7"/>
    <w:rsid w:val="04980F70"/>
    <w:rsid w:val="049A484F"/>
    <w:rsid w:val="049F25BE"/>
    <w:rsid w:val="04A10F62"/>
    <w:rsid w:val="04A24CDA"/>
    <w:rsid w:val="04AE7B23"/>
    <w:rsid w:val="04B3222E"/>
    <w:rsid w:val="04C77B29"/>
    <w:rsid w:val="04CA1777"/>
    <w:rsid w:val="04D2484C"/>
    <w:rsid w:val="04D550AF"/>
    <w:rsid w:val="04E15802"/>
    <w:rsid w:val="04E62E18"/>
    <w:rsid w:val="04F25C61"/>
    <w:rsid w:val="051200B1"/>
    <w:rsid w:val="05155E5C"/>
    <w:rsid w:val="05184F9C"/>
    <w:rsid w:val="051A51B8"/>
    <w:rsid w:val="051F10E1"/>
    <w:rsid w:val="0524237C"/>
    <w:rsid w:val="05243941"/>
    <w:rsid w:val="052B4CCF"/>
    <w:rsid w:val="05345255"/>
    <w:rsid w:val="053E0EA6"/>
    <w:rsid w:val="05410997"/>
    <w:rsid w:val="054A784B"/>
    <w:rsid w:val="055646EE"/>
    <w:rsid w:val="05614B95"/>
    <w:rsid w:val="056B1B3F"/>
    <w:rsid w:val="056D178C"/>
    <w:rsid w:val="05884843"/>
    <w:rsid w:val="058C27C7"/>
    <w:rsid w:val="05A607FA"/>
    <w:rsid w:val="05A625A8"/>
    <w:rsid w:val="05B253F0"/>
    <w:rsid w:val="05B943F0"/>
    <w:rsid w:val="05BB24F7"/>
    <w:rsid w:val="05C45739"/>
    <w:rsid w:val="05D2339D"/>
    <w:rsid w:val="05D34A5B"/>
    <w:rsid w:val="05D610DF"/>
    <w:rsid w:val="05D8632F"/>
    <w:rsid w:val="05E6173F"/>
    <w:rsid w:val="05FC035D"/>
    <w:rsid w:val="05FD32C9"/>
    <w:rsid w:val="060A0D89"/>
    <w:rsid w:val="06113EC5"/>
    <w:rsid w:val="062228A8"/>
    <w:rsid w:val="063539E9"/>
    <w:rsid w:val="063F4ED6"/>
    <w:rsid w:val="063F669E"/>
    <w:rsid w:val="063F6C84"/>
    <w:rsid w:val="0644429B"/>
    <w:rsid w:val="06475E63"/>
    <w:rsid w:val="06475FF0"/>
    <w:rsid w:val="064760C8"/>
    <w:rsid w:val="06500E91"/>
    <w:rsid w:val="065751F3"/>
    <w:rsid w:val="06606BFB"/>
    <w:rsid w:val="066E30C6"/>
    <w:rsid w:val="066F0C55"/>
    <w:rsid w:val="066F6FA2"/>
    <w:rsid w:val="06706308"/>
    <w:rsid w:val="06794F15"/>
    <w:rsid w:val="068428E9"/>
    <w:rsid w:val="068678D2"/>
    <w:rsid w:val="06885B2F"/>
    <w:rsid w:val="06905732"/>
    <w:rsid w:val="069624FE"/>
    <w:rsid w:val="069B7459"/>
    <w:rsid w:val="06A27213"/>
    <w:rsid w:val="06A42F8B"/>
    <w:rsid w:val="06AE5BB8"/>
    <w:rsid w:val="06B56F46"/>
    <w:rsid w:val="06C150A0"/>
    <w:rsid w:val="06C54CB0"/>
    <w:rsid w:val="06CB0518"/>
    <w:rsid w:val="06D01FD2"/>
    <w:rsid w:val="06D447C4"/>
    <w:rsid w:val="06DD1BE3"/>
    <w:rsid w:val="06DF2215"/>
    <w:rsid w:val="06E23AB3"/>
    <w:rsid w:val="06F21F49"/>
    <w:rsid w:val="06F84D7D"/>
    <w:rsid w:val="06FE0DBC"/>
    <w:rsid w:val="070103DE"/>
    <w:rsid w:val="07025D41"/>
    <w:rsid w:val="07034156"/>
    <w:rsid w:val="07083C76"/>
    <w:rsid w:val="070D0B30"/>
    <w:rsid w:val="070E62E0"/>
    <w:rsid w:val="07190F90"/>
    <w:rsid w:val="071F2612"/>
    <w:rsid w:val="07283BBC"/>
    <w:rsid w:val="072916E2"/>
    <w:rsid w:val="072B7208"/>
    <w:rsid w:val="07355BAD"/>
    <w:rsid w:val="073A38EF"/>
    <w:rsid w:val="074958E1"/>
    <w:rsid w:val="074B3407"/>
    <w:rsid w:val="07670BAE"/>
    <w:rsid w:val="07723089"/>
    <w:rsid w:val="07740BAF"/>
    <w:rsid w:val="07827748"/>
    <w:rsid w:val="07846919"/>
    <w:rsid w:val="07876DB0"/>
    <w:rsid w:val="078A2181"/>
    <w:rsid w:val="078D346A"/>
    <w:rsid w:val="079528D4"/>
    <w:rsid w:val="079C5FEE"/>
    <w:rsid w:val="079D70B9"/>
    <w:rsid w:val="07AB58A1"/>
    <w:rsid w:val="07B42B0F"/>
    <w:rsid w:val="07B65F87"/>
    <w:rsid w:val="07BE631C"/>
    <w:rsid w:val="07C05BA3"/>
    <w:rsid w:val="07C3354C"/>
    <w:rsid w:val="07C63AEF"/>
    <w:rsid w:val="07C7053B"/>
    <w:rsid w:val="07CD7839"/>
    <w:rsid w:val="07DA3804"/>
    <w:rsid w:val="07DC398D"/>
    <w:rsid w:val="07DD49A7"/>
    <w:rsid w:val="07E61381"/>
    <w:rsid w:val="07EA70C4"/>
    <w:rsid w:val="07EE4F42"/>
    <w:rsid w:val="07F13FAE"/>
    <w:rsid w:val="07FB2010"/>
    <w:rsid w:val="07FB4E2D"/>
    <w:rsid w:val="08033CE1"/>
    <w:rsid w:val="080D4B60"/>
    <w:rsid w:val="080F08D8"/>
    <w:rsid w:val="08183C31"/>
    <w:rsid w:val="081B4DF0"/>
    <w:rsid w:val="081D1247"/>
    <w:rsid w:val="081E4FBF"/>
    <w:rsid w:val="08234384"/>
    <w:rsid w:val="0825634E"/>
    <w:rsid w:val="08365E65"/>
    <w:rsid w:val="083B16CD"/>
    <w:rsid w:val="084629C9"/>
    <w:rsid w:val="084F24D1"/>
    <w:rsid w:val="085333A0"/>
    <w:rsid w:val="085B58CB"/>
    <w:rsid w:val="08607386"/>
    <w:rsid w:val="087D48F5"/>
    <w:rsid w:val="08847A04"/>
    <w:rsid w:val="088B272C"/>
    <w:rsid w:val="088C6C99"/>
    <w:rsid w:val="08A118B5"/>
    <w:rsid w:val="08BA4CE8"/>
    <w:rsid w:val="08C22170"/>
    <w:rsid w:val="08C500C0"/>
    <w:rsid w:val="08D538D0"/>
    <w:rsid w:val="08D86403"/>
    <w:rsid w:val="08D86F1C"/>
    <w:rsid w:val="08D90B6B"/>
    <w:rsid w:val="08DF474E"/>
    <w:rsid w:val="08E81855"/>
    <w:rsid w:val="08F54C4A"/>
    <w:rsid w:val="08F864A6"/>
    <w:rsid w:val="08FB2C0B"/>
    <w:rsid w:val="09000221"/>
    <w:rsid w:val="09017637"/>
    <w:rsid w:val="09052998"/>
    <w:rsid w:val="091B62C7"/>
    <w:rsid w:val="092403B3"/>
    <w:rsid w:val="0928110D"/>
    <w:rsid w:val="093B7E06"/>
    <w:rsid w:val="09413606"/>
    <w:rsid w:val="09414AC1"/>
    <w:rsid w:val="09480230"/>
    <w:rsid w:val="09541930"/>
    <w:rsid w:val="095A2027"/>
    <w:rsid w:val="096609CC"/>
    <w:rsid w:val="09684744"/>
    <w:rsid w:val="0976316B"/>
    <w:rsid w:val="097C01EF"/>
    <w:rsid w:val="09862E1C"/>
    <w:rsid w:val="098D27B7"/>
    <w:rsid w:val="0995305F"/>
    <w:rsid w:val="099E1F14"/>
    <w:rsid w:val="09A77BE3"/>
    <w:rsid w:val="09BA4874"/>
    <w:rsid w:val="09C33728"/>
    <w:rsid w:val="09C35E1E"/>
    <w:rsid w:val="09CB6A81"/>
    <w:rsid w:val="09D7254E"/>
    <w:rsid w:val="09DB07B6"/>
    <w:rsid w:val="09E3201C"/>
    <w:rsid w:val="09E55D95"/>
    <w:rsid w:val="09FF3F04"/>
    <w:rsid w:val="0A0855DF"/>
    <w:rsid w:val="0A0A1357"/>
    <w:rsid w:val="0A206DCD"/>
    <w:rsid w:val="0A285C81"/>
    <w:rsid w:val="0A287A2F"/>
    <w:rsid w:val="0A290E05"/>
    <w:rsid w:val="0A2C26C1"/>
    <w:rsid w:val="0A333762"/>
    <w:rsid w:val="0A383E98"/>
    <w:rsid w:val="0A3F0B59"/>
    <w:rsid w:val="0A4C7BC2"/>
    <w:rsid w:val="0A4E393A"/>
    <w:rsid w:val="0A515613"/>
    <w:rsid w:val="0A516F86"/>
    <w:rsid w:val="0A546A76"/>
    <w:rsid w:val="0A592E48"/>
    <w:rsid w:val="0A5E16A3"/>
    <w:rsid w:val="0A670558"/>
    <w:rsid w:val="0A6767AA"/>
    <w:rsid w:val="0A6C7C27"/>
    <w:rsid w:val="0A73514E"/>
    <w:rsid w:val="0A854E82"/>
    <w:rsid w:val="0A8F1CEF"/>
    <w:rsid w:val="0A970AEF"/>
    <w:rsid w:val="0A9A54E1"/>
    <w:rsid w:val="0AA068F7"/>
    <w:rsid w:val="0AAA2B3A"/>
    <w:rsid w:val="0AAA45DD"/>
    <w:rsid w:val="0AC0784A"/>
    <w:rsid w:val="0AC402B6"/>
    <w:rsid w:val="0AD6392F"/>
    <w:rsid w:val="0ADA341F"/>
    <w:rsid w:val="0ADA51CD"/>
    <w:rsid w:val="0ADF27E4"/>
    <w:rsid w:val="0AEC3153"/>
    <w:rsid w:val="0AEC42BB"/>
    <w:rsid w:val="0AF344E1"/>
    <w:rsid w:val="0AF7739B"/>
    <w:rsid w:val="0B043FF8"/>
    <w:rsid w:val="0B096DB7"/>
    <w:rsid w:val="0B0D3B8F"/>
    <w:rsid w:val="0B181C3A"/>
    <w:rsid w:val="0B1B1342"/>
    <w:rsid w:val="0B1B7594"/>
    <w:rsid w:val="0B202452"/>
    <w:rsid w:val="0B246449"/>
    <w:rsid w:val="0B2E376B"/>
    <w:rsid w:val="0B335DEB"/>
    <w:rsid w:val="0B425A17"/>
    <w:rsid w:val="0B426986"/>
    <w:rsid w:val="0B427292"/>
    <w:rsid w:val="0B4C1C23"/>
    <w:rsid w:val="0B4E1717"/>
    <w:rsid w:val="0B512FB6"/>
    <w:rsid w:val="0B5D7BAD"/>
    <w:rsid w:val="0B5E5DFE"/>
    <w:rsid w:val="0B660692"/>
    <w:rsid w:val="0B662F05"/>
    <w:rsid w:val="0B723658"/>
    <w:rsid w:val="0B725406"/>
    <w:rsid w:val="0B770C6E"/>
    <w:rsid w:val="0B786794"/>
    <w:rsid w:val="0B7C6285"/>
    <w:rsid w:val="0B8A6D7A"/>
    <w:rsid w:val="0B903ADE"/>
    <w:rsid w:val="0B955598"/>
    <w:rsid w:val="0BA650B0"/>
    <w:rsid w:val="0BA80E28"/>
    <w:rsid w:val="0BAF665A"/>
    <w:rsid w:val="0BCE4606"/>
    <w:rsid w:val="0BD8526C"/>
    <w:rsid w:val="0BDB587F"/>
    <w:rsid w:val="0BDF05C2"/>
    <w:rsid w:val="0BDF6813"/>
    <w:rsid w:val="0BE0262F"/>
    <w:rsid w:val="0BE0617A"/>
    <w:rsid w:val="0BEF4CA9"/>
    <w:rsid w:val="0BF21E14"/>
    <w:rsid w:val="0BF57DE5"/>
    <w:rsid w:val="0C191D25"/>
    <w:rsid w:val="0C2030B4"/>
    <w:rsid w:val="0C234952"/>
    <w:rsid w:val="0C304FE4"/>
    <w:rsid w:val="0C323D10"/>
    <w:rsid w:val="0C346B5F"/>
    <w:rsid w:val="0C3B60A9"/>
    <w:rsid w:val="0C3C5A14"/>
    <w:rsid w:val="0C3E353A"/>
    <w:rsid w:val="0C4C20FB"/>
    <w:rsid w:val="0C523489"/>
    <w:rsid w:val="0C5745FC"/>
    <w:rsid w:val="0C657638"/>
    <w:rsid w:val="0C7B653C"/>
    <w:rsid w:val="0C801DA5"/>
    <w:rsid w:val="0C831895"/>
    <w:rsid w:val="0C994C14"/>
    <w:rsid w:val="0CA85B84"/>
    <w:rsid w:val="0CBD2EAF"/>
    <w:rsid w:val="0CC46135"/>
    <w:rsid w:val="0CD373DF"/>
    <w:rsid w:val="0CDA7707"/>
    <w:rsid w:val="0CE265BB"/>
    <w:rsid w:val="0CE51C08"/>
    <w:rsid w:val="0CEF2A86"/>
    <w:rsid w:val="0CFC6F53"/>
    <w:rsid w:val="0CFF0F1B"/>
    <w:rsid w:val="0D072366"/>
    <w:rsid w:val="0D076022"/>
    <w:rsid w:val="0D1373CA"/>
    <w:rsid w:val="0D183D8B"/>
    <w:rsid w:val="0D196656"/>
    <w:rsid w:val="0D1C6A09"/>
    <w:rsid w:val="0D2E3BBF"/>
    <w:rsid w:val="0D3E7461"/>
    <w:rsid w:val="0D41681B"/>
    <w:rsid w:val="0D58687D"/>
    <w:rsid w:val="0D690A8B"/>
    <w:rsid w:val="0D696CDD"/>
    <w:rsid w:val="0D746004"/>
    <w:rsid w:val="0D7C6A10"/>
    <w:rsid w:val="0D8B27AF"/>
    <w:rsid w:val="0D8E700B"/>
    <w:rsid w:val="0D9304EB"/>
    <w:rsid w:val="0D9A6E96"/>
    <w:rsid w:val="0DA27AF9"/>
    <w:rsid w:val="0DA63A8D"/>
    <w:rsid w:val="0DAB10A3"/>
    <w:rsid w:val="0DAB4BFF"/>
    <w:rsid w:val="0DAE2941"/>
    <w:rsid w:val="0DAE46EF"/>
    <w:rsid w:val="0DB13823"/>
    <w:rsid w:val="0DB25F8E"/>
    <w:rsid w:val="0DB53CD0"/>
    <w:rsid w:val="0DBC497F"/>
    <w:rsid w:val="0DBC505E"/>
    <w:rsid w:val="0DC12675"/>
    <w:rsid w:val="0DC83A03"/>
    <w:rsid w:val="0DC95D96"/>
    <w:rsid w:val="0DCB0C30"/>
    <w:rsid w:val="0DD71E98"/>
    <w:rsid w:val="0DE86B21"/>
    <w:rsid w:val="0DED6FC6"/>
    <w:rsid w:val="0DF447F8"/>
    <w:rsid w:val="0DF65071"/>
    <w:rsid w:val="0DFB140C"/>
    <w:rsid w:val="0DFC0475"/>
    <w:rsid w:val="0E05748E"/>
    <w:rsid w:val="0E0E3658"/>
    <w:rsid w:val="0E2C4F72"/>
    <w:rsid w:val="0E2F75DE"/>
    <w:rsid w:val="0E344BF5"/>
    <w:rsid w:val="0E3C619F"/>
    <w:rsid w:val="0E3C7F4D"/>
    <w:rsid w:val="0E460DCC"/>
    <w:rsid w:val="0E46176C"/>
    <w:rsid w:val="0E484B44"/>
    <w:rsid w:val="0E4A266A"/>
    <w:rsid w:val="0E4B1F3E"/>
    <w:rsid w:val="0E4D3765"/>
    <w:rsid w:val="0E5A03D3"/>
    <w:rsid w:val="0E6F4839"/>
    <w:rsid w:val="0E7B2823"/>
    <w:rsid w:val="0E835B7C"/>
    <w:rsid w:val="0E860CE1"/>
    <w:rsid w:val="0E8B67DF"/>
    <w:rsid w:val="0E9438E5"/>
    <w:rsid w:val="0E9658AF"/>
    <w:rsid w:val="0E9A3205"/>
    <w:rsid w:val="0EA37FCC"/>
    <w:rsid w:val="0EA46AC8"/>
    <w:rsid w:val="0EA9219A"/>
    <w:rsid w:val="0EAC6E81"/>
    <w:rsid w:val="0EAF24CD"/>
    <w:rsid w:val="0EBC360E"/>
    <w:rsid w:val="0EBD54F7"/>
    <w:rsid w:val="0EC666D5"/>
    <w:rsid w:val="0ED35847"/>
    <w:rsid w:val="0EDE1004"/>
    <w:rsid w:val="0EE04D7C"/>
    <w:rsid w:val="0EE4486D"/>
    <w:rsid w:val="0EEFDFF4"/>
    <w:rsid w:val="0EEFFF45"/>
    <w:rsid w:val="0EF45918"/>
    <w:rsid w:val="0EFB0C82"/>
    <w:rsid w:val="0EFE5203"/>
    <w:rsid w:val="0F052A35"/>
    <w:rsid w:val="0F1E568F"/>
    <w:rsid w:val="0F1F0C14"/>
    <w:rsid w:val="0F1F3AF7"/>
    <w:rsid w:val="0F2B249C"/>
    <w:rsid w:val="0F3055BC"/>
    <w:rsid w:val="0F3D0A31"/>
    <w:rsid w:val="0F4A0448"/>
    <w:rsid w:val="0F4E618A"/>
    <w:rsid w:val="0F515C7A"/>
    <w:rsid w:val="0F5341AC"/>
    <w:rsid w:val="0F584C32"/>
    <w:rsid w:val="0F5D017B"/>
    <w:rsid w:val="0F5E1F36"/>
    <w:rsid w:val="0F661726"/>
    <w:rsid w:val="0F670FFA"/>
    <w:rsid w:val="0F6821BD"/>
    <w:rsid w:val="0F694D72"/>
    <w:rsid w:val="0F73114E"/>
    <w:rsid w:val="0F7718EE"/>
    <w:rsid w:val="0F7839A4"/>
    <w:rsid w:val="0F79174B"/>
    <w:rsid w:val="0F827BE2"/>
    <w:rsid w:val="0F841BAC"/>
    <w:rsid w:val="0F8676D2"/>
    <w:rsid w:val="0F890F70"/>
    <w:rsid w:val="0F8C0A60"/>
    <w:rsid w:val="0FA45E04"/>
    <w:rsid w:val="0FB029A1"/>
    <w:rsid w:val="0FB0474F"/>
    <w:rsid w:val="0FB83603"/>
    <w:rsid w:val="0FBA55CD"/>
    <w:rsid w:val="0FCB32AD"/>
    <w:rsid w:val="0FCC6E76"/>
    <w:rsid w:val="0FCD3553"/>
    <w:rsid w:val="0FCD4BFD"/>
    <w:rsid w:val="0FD52407"/>
    <w:rsid w:val="0FE268D2"/>
    <w:rsid w:val="0FE819E9"/>
    <w:rsid w:val="0FE97C61"/>
    <w:rsid w:val="0FF70B84"/>
    <w:rsid w:val="0FF7412C"/>
    <w:rsid w:val="0FF96E30"/>
    <w:rsid w:val="10035283"/>
    <w:rsid w:val="10044A9B"/>
    <w:rsid w:val="1010343F"/>
    <w:rsid w:val="10152804"/>
    <w:rsid w:val="10245B94"/>
    <w:rsid w:val="10262968"/>
    <w:rsid w:val="10294D09"/>
    <w:rsid w:val="102A2753"/>
    <w:rsid w:val="102D2243"/>
    <w:rsid w:val="1030763E"/>
    <w:rsid w:val="1033163B"/>
    <w:rsid w:val="10491B33"/>
    <w:rsid w:val="104B161C"/>
    <w:rsid w:val="105421D6"/>
    <w:rsid w:val="1066305F"/>
    <w:rsid w:val="106B4B1A"/>
    <w:rsid w:val="10702130"/>
    <w:rsid w:val="107072B9"/>
    <w:rsid w:val="10944070"/>
    <w:rsid w:val="1098232F"/>
    <w:rsid w:val="109C2F25"/>
    <w:rsid w:val="10BD0EA7"/>
    <w:rsid w:val="10BD35C7"/>
    <w:rsid w:val="10BE03C5"/>
    <w:rsid w:val="10C304B2"/>
    <w:rsid w:val="10CF6E57"/>
    <w:rsid w:val="10DB78ED"/>
    <w:rsid w:val="10E040B0"/>
    <w:rsid w:val="10EF5C58"/>
    <w:rsid w:val="11050288"/>
    <w:rsid w:val="1111746F"/>
    <w:rsid w:val="111421C1"/>
    <w:rsid w:val="11172D2B"/>
    <w:rsid w:val="111E5477"/>
    <w:rsid w:val="11401B02"/>
    <w:rsid w:val="115B2DE0"/>
    <w:rsid w:val="115D0906"/>
    <w:rsid w:val="116003F7"/>
    <w:rsid w:val="116577BB"/>
    <w:rsid w:val="11845297"/>
    <w:rsid w:val="11965BC6"/>
    <w:rsid w:val="11A236A7"/>
    <w:rsid w:val="11A958FA"/>
    <w:rsid w:val="11B60016"/>
    <w:rsid w:val="11C546B3"/>
    <w:rsid w:val="11CF317C"/>
    <w:rsid w:val="11D958B8"/>
    <w:rsid w:val="11E06E41"/>
    <w:rsid w:val="11EA0058"/>
    <w:rsid w:val="11EC3A38"/>
    <w:rsid w:val="11EF7524"/>
    <w:rsid w:val="11F56D91"/>
    <w:rsid w:val="11FC011F"/>
    <w:rsid w:val="11FF19BD"/>
    <w:rsid w:val="121A67F7"/>
    <w:rsid w:val="121D3BF2"/>
    <w:rsid w:val="12202CF8"/>
    <w:rsid w:val="12271EF5"/>
    <w:rsid w:val="122B4561"/>
    <w:rsid w:val="12380A2C"/>
    <w:rsid w:val="123A3203"/>
    <w:rsid w:val="12411FD6"/>
    <w:rsid w:val="12490E8B"/>
    <w:rsid w:val="124D2729"/>
    <w:rsid w:val="125F420A"/>
    <w:rsid w:val="126857B5"/>
    <w:rsid w:val="126A2BFC"/>
    <w:rsid w:val="126B2BAF"/>
    <w:rsid w:val="127C3EA9"/>
    <w:rsid w:val="12815B21"/>
    <w:rsid w:val="1283439D"/>
    <w:rsid w:val="12865C3B"/>
    <w:rsid w:val="128849C7"/>
    <w:rsid w:val="128F4AEF"/>
    <w:rsid w:val="12A10CC7"/>
    <w:rsid w:val="12AC0CCA"/>
    <w:rsid w:val="12BD4182"/>
    <w:rsid w:val="12BE7183"/>
    <w:rsid w:val="12BF111A"/>
    <w:rsid w:val="12C45002"/>
    <w:rsid w:val="12C86253"/>
    <w:rsid w:val="12CC1B6D"/>
    <w:rsid w:val="12D06EB6"/>
    <w:rsid w:val="12DE7274"/>
    <w:rsid w:val="12EA441C"/>
    <w:rsid w:val="12EC7C9C"/>
    <w:rsid w:val="12F31522"/>
    <w:rsid w:val="12F901BB"/>
    <w:rsid w:val="12F9640D"/>
    <w:rsid w:val="12FB7AA9"/>
    <w:rsid w:val="130C25E4"/>
    <w:rsid w:val="131274CE"/>
    <w:rsid w:val="13174AE5"/>
    <w:rsid w:val="1324792E"/>
    <w:rsid w:val="132D4308"/>
    <w:rsid w:val="13345697"/>
    <w:rsid w:val="133833D9"/>
    <w:rsid w:val="13392CAD"/>
    <w:rsid w:val="13404638"/>
    <w:rsid w:val="13477178"/>
    <w:rsid w:val="13481924"/>
    <w:rsid w:val="13567656"/>
    <w:rsid w:val="135F5EE1"/>
    <w:rsid w:val="136822A8"/>
    <w:rsid w:val="13702B73"/>
    <w:rsid w:val="137912FC"/>
    <w:rsid w:val="13864617"/>
    <w:rsid w:val="138C5D80"/>
    <w:rsid w:val="138E124B"/>
    <w:rsid w:val="13986642"/>
    <w:rsid w:val="13A0058A"/>
    <w:rsid w:val="13A43BC7"/>
    <w:rsid w:val="13AA6685"/>
    <w:rsid w:val="13B011C1"/>
    <w:rsid w:val="13BB08D3"/>
    <w:rsid w:val="13BF17F4"/>
    <w:rsid w:val="13C44270"/>
    <w:rsid w:val="13C46A1B"/>
    <w:rsid w:val="13CF716E"/>
    <w:rsid w:val="13D937D5"/>
    <w:rsid w:val="13DE306D"/>
    <w:rsid w:val="13E86DB5"/>
    <w:rsid w:val="13F56BD4"/>
    <w:rsid w:val="13F866C4"/>
    <w:rsid w:val="14002792"/>
    <w:rsid w:val="14011A1D"/>
    <w:rsid w:val="1402109C"/>
    <w:rsid w:val="1404150D"/>
    <w:rsid w:val="14060EC2"/>
    <w:rsid w:val="14074B59"/>
    <w:rsid w:val="140B464A"/>
    <w:rsid w:val="140E7C96"/>
    <w:rsid w:val="14186D67"/>
    <w:rsid w:val="141B0BDF"/>
    <w:rsid w:val="143F76DC"/>
    <w:rsid w:val="14411E19"/>
    <w:rsid w:val="14432035"/>
    <w:rsid w:val="144638D4"/>
    <w:rsid w:val="144D2D5B"/>
    <w:rsid w:val="144E09DA"/>
    <w:rsid w:val="14534A58"/>
    <w:rsid w:val="14574805"/>
    <w:rsid w:val="145A2EDB"/>
    <w:rsid w:val="145F4995"/>
    <w:rsid w:val="147F0B94"/>
    <w:rsid w:val="1483775B"/>
    <w:rsid w:val="148A748F"/>
    <w:rsid w:val="148E0DD7"/>
    <w:rsid w:val="14922266"/>
    <w:rsid w:val="14943AA4"/>
    <w:rsid w:val="149861A3"/>
    <w:rsid w:val="14991C55"/>
    <w:rsid w:val="149E726C"/>
    <w:rsid w:val="14A16D5C"/>
    <w:rsid w:val="14A405FA"/>
    <w:rsid w:val="14AD5701"/>
    <w:rsid w:val="14AE3227"/>
    <w:rsid w:val="14B940A6"/>
    <w:rsid w:val="14BC76F2"/>
    <w:rsid w:val="14BE16BC"/>
    <w:rsid w:val="14BF71E2"/>
    <w:rsid w:val="14C469E5"/>
    <w:rsid w:val="14C8078D"/>
    <w:rsid w:val="14CA62B3"/>
    <w:rsid w:val="14CF38C9"/>
    <w:rsid w:val="14D0319D"/>
    <w:rsid w:val="14EA425F"/>
    <w:rsid w:val="14EF5D19"/>
    <w:rsid w:val="14EF600A"/>
    <w:rsid w:val="14EF780E"/>
    <w:rsid w:val="14F72E20"/>
    <w:rsid w:val="14FC6AA6"/>
    <w:rsid w:val="15003E83"/>
    <w:rsid w:val="150115A9"/>
    <w:rsid w:val="150572EB"/>
    <w:rsid w:val="150756F6"/>
    <w:rsid w:val="150A66AF"/>
    <w:rsid w:val="150F0169"/>
    <w:rsid w:val="151B4D60"/>
    <w:rsid w:val="151E6A48"/>
    <w:rsid w:val="15273705"/>
    <w:rsid w:val="152F690B"/>
    <w:rsid w:val="153320AA"/>
    <w:rsid w:val="1533599C"/>
    <w:rsid w:val="153656F6"/>
    <w:rsid w:val="15396F94"/>
    <w:rsid w:val="153C5486"/>
    <w:rsid w:val="153E0A4F"/>
    <w:rsid w:val="154A2F50"/>
    <w:rsid w:val="154D6D9A"/>
    <w:rsid w:val="15567B46"/>
    <w:rsid w:val="15634011"/>
    <w:rsid w:val="156A35F2"/>
    <w:rsid w:val="156B1DF9"/>
    <w:rsid w:val="1578353E"/>
    <w:rsid w:val="157E0E4B"/>
    <w:rsid w:val="15836462"/>
    <w:rsid w:val="158C17BA"/>
    <w:rsid w:val="159348F7"/>
    <w:rsid w:val="159A46ED"/>
    <w:rsid w:val="159D7EA6"/>
    <w:rsid w:val="15A20FDE"/>
    <w:rsid w:val="15A703A2"/>
    <w:rsid w:val="15AE34DE"/>
    <w:rsid w:val="15AE7982"/>
    <w:rsid w:val="15AF54A9"/>
    <w:rsid w:val="15B8610B"/>
    <w:rsid w:val="15BD1974"/>
    <w:rsid w:val="15C076B6"/>
    <w:rsid w:val="15C54FEA"/>
    <w:rsid w:val="15CE1DD3"/>
    <w:rsid w:val="15DA0777"/>
    <w:rsid w:val="15DB6218"/>
    <w:rsid w:val="15DE21ED"/>
    <w:rsid w:val="15E056F0"/>
    <w:rsid w:val="15E51652"/>
    <w:rsid w:val="15EB3A81"/>
    <w:rsid w:val="15EF1E88"/>
    <w:rsid w:val="15EFD1E1"/>
    <w:rsid w:val="15FA6BDF"/>
    <w:rsid w:val="15FC6940"/>
    <w:rsid w:val="160550C9"/>
    <w:rsid w:val="161D0664"/>
    <w:rsid w:val="16227A29"/>
    <w:rsid w:val="162B4F07"/>
    <w:rsid w:val="162E3247"/>
    <w:rsid w:val="16322361"/>
    <w:rsid w:val="16395EA4"/>
    <w:rsid w:val="164860B9"/>
    <w:rsid w:val="165E3157"/>
    <w:rsid w:val="166718DF"/>
    <w:rsid w:val="166A5B42"/>
    <w:rsid w:val="167364D6"/>
    <w:rsid w:val="167504A0"/>
    <w:rsid w:val="16774218"/>
    <w:rsid w:val="16791CF8"/>
    <w:rsid w:val="16797079"/>
    <w:rsid w:val="167A43FB"/>
    <w:rsid w:val="167B494E"/>
    <w:rsid w:val="1683496B"/>
    <w:rsid w:val="16893F4C"/>
    <w:rsid w:val="16AA639C"/>
    <w:rsid w:val="16AE0763"/>
    <w:rsid w:val="16B041F0"/>
    <w:rsid w:val="16BB4159"/>
    <w:rsid w:val="16BC009B"/>
    <w:rsid w:val="16BD3D30"/>
    <w:rsid w:val="16C3120C"/>
    <w:rsid w:val="16D50F3F"/>
    <w:rsid w:val="16DE7DF3"/>
    <w:rsid w:val="16EC665D"/>
    <w:rsid w:val="16ED44DA"/>
    <w:rsid w:val="16EF1B1F"/>
    <w:rsid w:val="16F41D80"/>
    <w:rsid w:val="16F84E4E"/>
    <w:rsid w:val="17103D25"/>
    <w:rsid w:val="17143815"/>
    <w:rsid w:val="17261B4A"/>
    <w:rsid w:val="172D2B29"/>
    <w:rsid w:val="174A6A66"/>
    <w:rsid w:val="174B2FAF"/>
    <w:rsid w:val="17507ED0"/>
    <w:rsid w:val="17575DF8"/>
    <w:rsid w:val="1759391E"/>
    <w:rsid w:val="175A4E88"/>
    <w:rsid w:val="175B7696"/>
    <w:rsid w:val="176C18A3"/>
    <w:rsid w:val="177D2817"/>
    <w:rsid w:val="17810A74"/>
    <w:rsid w:val="17914E66"/>
    <w:rsid w:val="17982698"/>
    <w:rsid w:val="179949A3"/>
    <w:rsid w:val="179D2C23"/>
    <w:rsid w:val="17A80401"/>
    <w:rsid w:val="17B939B2"/>
    <w:rsid w:val="17C70561"/>
    <w:rsid w:val="17DB7A56"/>
    <w:rsid w:val="17EF2894"/>
    <w:rsid w:val="17F35CF2"/>
    <w:rsid w:val="17F36411"/>
    <w:rsid w:val="17FB6783"/>
    <w:rsid w:val="17FD699F"/>
    <w:rsid w:val="180715CC"/>
    <w:rsid w:val="180A2E6A"/>
    <w:rsid w:val="181F6915"/>
    <w:rsid w:val="18272DAA"/>
    <w:rsid w:val="183323C1"/>
    <w:rsid w:val="18477C1A"/>
    <w:rsid w:val="18493992"/>
    <w:rsid w:val="184B14B9"/>
    <w:rsid w:val="185C1918"/>
    <w:rsid w:val="185F31B6"/>
    <w:rsid w:val="18623339"/>
    <w:rsid w:val="186407CC"/>
    <w:rsid w:val="18644328"/>
    <w:rsid w:val="186D494E"/>
    <w:rsid w:val="18700F1F"/>
    <w:rsid w:val="18891FE1"/>
    <w:rsid w:val="18917F4F"/>
    <w:rsid w:val="189664AC"/>
    <w:rsid w:val="18994CC6"/>
    <w:rsid w:val="189B3AC2"/>
    <w:rsid w:val="189E5FA9"/>
    <w:rsid w:val="189F422E"/>
    <w:rsid w:val="18AA3A2D"/>
    <w:rsid w:val="18B74DA0"/>
    <w:rsid w:val="18C014D5"/>
    <w:rsid w:val="18D05A34"/>
    <w:rsid w:val="18E13BCB"/>
    <w:rsid w:val="18E9476E"/>
    <w:rsid w:val="18F420A1"/>
    <w:rsid w:val="18F5277F"/>
    <w:rsid w:val="18F7519C"/>
    <w:rsid w:val="190951DF"/>
    <w:rsid w:val="190A3122"/>
    <w:rsid w:val="19250D50"/>
    <w:rsid w:val="192D0557"/>
    <w:rsid w:val="19324427"/>
    <w:rsid w:val="193261D5"/>
    <w:rsid w:val="19436634"/>
    <w:rsid w:val="195E6FCA"/>
    <w:rsid w:val="1967646D"/>
    <w:rsid w:val="196D0DB5"/>
    <w:rsid w:val="1977452F"/>
    <w:rsid w:val="198D7236"/>
    <w:rsid w:val="19997760"/>
    <w:rsid w:val="199D5DCC"/>
    <w:rsid w:val="199F2A3E"/>
    <w:rsid w:val="19A11F14"/>
    <w:rsid w:val="19A52E4A"/>
    <w:rsid w:val="19B021B4"/>
    <w:rsid w:val="19B25567"/>
    <w:rsid w:val="19B337B9"/>
    <w:rsid w:val="19BF5E2A"/>
    <w:rsid w:val="19C05F96"/>
    <w:rsid w:val="19D114AD"/>
    <w:rsid w:val="19D21AEC"/>
    <w:rsid w:val="19F03933"/>
    <w:rsid w:val="19F43255"/>
    <w:rsid w:val="19F811CC"/>
    <w:rsid w:val="19FE2504"/>
    <w:rsid w:val="1A0361A3"/>
    <w:rsid w:val="1A081BBA"/>
    <w:rsid w:val="1A136006"/>
    <w:rsid w:val="1A143941"/>
    <w:rsid w:val="1A1572FB"/>
    <w:rsid w:val="1A1678A4"/>
    <w:rsid w:val="1A200723"/>
    <w:rsid w:val="1A310B82"/>
    <w:rsid w:val="1A330E88"/>
    <w:rsid w:val="1A361CF4"/>
    <w:rsid w:val="1A3A17E5"/>
    <w:rsid w:val="1A3D0016"/>
    <w:rsid w:val="1A3D7527"/>
    <w:rsid w:val="1A3E3A1B"/>
    <w:rsid w:val="1A404921"/>
    <w:rsid w:val="1A424B3D"/>
    <w:rsid w:val="1A472B8C"/>
    <w:rsid w:val="1A4A428C"/>
    <w:rsid w:val="1A4C51DD"/>
    <w:rsid w:val="1A66082C"/>
    <w:rsid w:val="1A732F49"/>
    <w:rsid w:val="1A761976"/>
    <w:rsid w:val="1A7B3BAB"/>
    <w:rsid w:val="1A7F5449"/>
    <w:rsid w:val="1A972D99"/>
    <w:rsid w:val="1A974E89"/>
    <w:rsid w:val="1A9B44AC"/>
    <w:rsid w:val="1A9B6333"/>
    <w:rsid w:val="1A9C0735"/>
    <w:rsid w:val="1AB2236C"/>
    <w:rsid w:val="1AB66ED9"/>
    <w:rsid w:val="1AB8095B"/>
    <w:rsid w:val="1AB845D7"/>
    <w:rsid w:val="1AC25B01"/>
    <w:rsid w:val="1AC54D97"/>
    <w:rsid w:val="1ACC6298"/>
    <w:rsid w:val="1ACE4487"/>
    <w:rsid w:val="1AE953BB"/>
    <w:rsid w:val="1B0F40F3"/>
    <w:rsid w:val="1B142779"/>
    <w:rsid w:val="1B2153BA"/>
    <w:rsid w:val="1B267FBB"/>
    <w:rsid w:val="1B2D76A8"/>
    <w:rsid w:val="1B304996"/>
    <w:rsid w:val="1B3E5305"/>
    <w:rsid w:val="1B414DF5"/>
    <w:rsid w:val="1B446693"/>
    <w:rsid w:val="1B495CCF"/>
    <w:rsid w:val="1B4A3CA9"/>
    <w:rsid w:val="1B4B178A"/>
    <w:rsid w:val="1B4D5548"/>
    <w:rsid w:val="1B530684"/>
    <w:rsid w:val="1B542D7A"/>
    <w:rsid w:val="1B724FAE"/>
    <w:rsid w:val="1B761451"/>
    <w:rsid w:val="1B762CF0"/>
    <w:rsid w:val="1B7BC705"/>
    <w:rsid w:val="1B85267F"/>
    <w:rsid w:val="1B8F5B60"/>
    <w:rsid w:val="1B994CD8"/>
    <w:rsid w:val="1BA2C6FD"/>
    <w:rsid w:val="1BA2F742"/>
    <w:rsid w:val="1BAB64B6"/>
    <w:rsid w:val="1BB42F34"/>
    <w:rsid w:val="1BB4425A"/>
    <w:rsid w:val="1BB7118F"/>
    <w:rsid w:val="1BB74552"/>
    <w:rsid w:val="1BBE44A5"/>
    <w:rsid w:val="1BCF0CAE"/>
    <w:rsid w:val="1BD712B5"/>
    <w:rsid w:val="1BE22134"/>
    <w:rsid w:val="1BE93A56"/>
    <w:rsid w:val="1BED2887"/>
    <w:rsid w:val="1BF47641"/>
    <w:rsid w:val="1BF766A2"/>
    <w:rsid w:val="1BFF1D33"/>
    <w:rsid w:val="1C116575"/>
    <w:rsid w:val="1C20413D"/>
    <w:rsid w:val="1C3109C5"/>
    <w:rsid w:val="1C346708"/>
    <w:rsid w:val="1C3B1844"/>
    <w:rsid w:val="1C3B5CE8"/>
    <w:rsid w:val="1C422AA1"/>
    <w:rsid w:val="1C422BD3"/>
    <w:rsid w:val="1C444B9D"/>
    <w:rsid w:val="1C4D0C6E"/>
    <w:rsid w:val="1C5830DD"/>
    <w:rsid w:val="1C5D61C2"/>
    <w:rsid w:val="1C6012AB"/>
    <w:rsid w:val="1C60407D"/>
    <w:rsid w:val="1C6E7F7E"/>
    <w:rsid w:val="1C6F14EE"/>
    <w:rsid w:val="1C776FCC"/>
    <w:rsid w:val="1C7903AF"/>
    <w:rsid w:val="1C7B7E93"/>
    <w:rsid w:val="1C7C1FFC"/>
    <w:rsid w:val="1C7E7FBA"/>
    <w:rsid w:val="1C8D4D7A"/>
    <w:rsid w:val="1C8E6596"/>
    <w:rsid w:val="1C8E7BC6"/>
    <w:rsid w:val="1C912F6B"/>
    <w:rsid w:val="1C964CCC"/>
    <w:rsid w:val="1CA92C52"/>
    <w:rsid w:val="1CB7F159"/>
    <w:rsid w:val="1CBB0022"/>
    <w:rsid w:val="1CC01D49"/>
    <w:rsid w:val="1CC23D13"/>
    <w:rsid w:val="1CC24675"/>
    <w:rsid w:val="1CC41839"/>
    <w:rsid w:val="1CC45CDD"/>
    <w:rsid w:val="1CD557F5"/>
    <w:rsid w:val="1CD7C0F1"/>
    <w:rsid w:val="1CDD6D9F"/>
    <w:rsid w:val="1CEB14BC"/>
    <w:rsid w:val="1CEB5018"/>
    <w:rsid w:val="1CED28D3"/>
    <w:rsid w:val="1CED5C00"/>
    <w:rsid w:val="1CEF0458"/>
    <w:rsid w:val="1CF814E3"/>
    <w:rsid w:val="1CF9709D"/>
    <w:rsid w:val="1CFC20DF"/>
    <w:rsid w:val="1CFF2B47"/>
    <w:rsid w:val="1D0432AA"/>
    <w:rsid w:val="1D060A74"/>
    <w:rsid w:val="1D0B7468"/>
    <w:rsid w:val="1D174D30"/>
    <w:rsid w:val="1D187DD7"/>
    <w:rsid w:val="1D1A3B4F"/>
    <w:rsid w:val="1D1E53EE"/>
    <w:rsid w:val="1D3A5FA0"/>
    <w:rsid w:val="1D3F7112"/>
    <w:rsid w:val="1D4332D0"/>
    <w:rsid w:val="1D4A4435"/>
    <w:rsid w:val="1D4E55A7"/>
    <w:rsid w:val="1D56777E"/>
    <w:rsid w:val="1D5C4168"/>
    <w:rsid w:val="1D5D632C"/>
    <w:rsid w:val="1D6E79F7"/>
    <w:rsid w:val="1D70376F"/>
    <w:rsid w:val="1D85546D"/>
    <w:rsid w:val="1D9A57C3"/>
    <w:rsid w:val="1DA33B45"/>
    <w:rsid w:val="1DB418AE"/>
    <w:rsid w:val="1DB6358D"/>
    <w:rsid w:val="1DD227B5"/>
    <w:rsid w:val="1DD42D05"/>
    <w:rsid w:val="1DD7559C"/>
    <w:rsid w:val="1DDC7709"/>
    <w:rsid w:val="1DE1641B"/>
    <w:rsid w:val="1DE67A2A"/>
    <w:rsid w:val="1DF12B02"/>
    <w:rsid w:val="1DF27FB0"/>
    <w:rsid w:val="1E061D94"/>
    <w:rsid w:val="1E214A6A"/>
    <w:rsid w:val="1E2A1B70"/>
    <w:rsid w:val="1E2A1E4D"/>
    <w:rsid w:val="1E2A78E6"/>
    <w:rsid w:val="1E311151"/>
    <w:rsid w:val="1E312EFF"/>
    <w:rsid w:val="1E42510C"/>
    <w:rsid w:val="1E4334FB"/>
    <w:rsid w:val="1E4825FB"/>
    <w:rsid w:val="1E4D13CA"/>
    <w:rsid w:val="1E4F5333"/>
    <w:rsid w:val="1E527523"/>
    <w:rsid w:val="1E566E09"/>
    <w:rsid w:val="1E592455"/>
    <w:rsid w:val="1E5B7F7C"/>
    <w:rsid w:val="1E5F67B4"/>
    <w:rsid w:val="1E672DC4"/>
    <w:rsid w:val="1E766B63"/>
    <w:rsid w:val="1E7D4396"/>
    <w:rsid w:val="1E870D71"/>
    <w:rsid w:val="1E8E65A3"/>
    <w:rsid w:val="1E9038D0"/>
    <w:rsid w:val="1E97797B"/>
    <w:rsid w:val="1E9811D0"/>
    <w:rsid w:val="1E990EF4"/>
    <w:rsid w:val="1E9A6CF6"/>
    <w:rsid w:val="1E9F6B91"/>
    <w:rsid w:val="1EA2204E"/>
    <w:rsid w:val="1EA336D1"/>
    <w:rsid w:val="1EAC28AD"/>
    <w:rsid w:val="1EB51D82"/>
    <w:rsid w:val="1ED0096A"/>
    <w:rsid w:val="1ED241D7"/>
    <w:rsid w:val="1ED41ADC"/>
    <w:rsid w:val="1ED815CC"/>
    <w:rsid w:val="1EDBA093"/>
    <w:rsid w:val="1EE70EC1"/>
    <w:rsid w:val="1EEBD367"/>
    <w:rsid w:val="1EF3302F"/>
    <w:rsid w:val="1EFA1543"/>
    <w:rsid w:val="1EFA3C38"/>
    <w:rsid w:val="1EFE3E02"/>
    <w:rsid w:val="1EFF4327"/>
    <w:rsid w:val="1F040613"/>
    <w:rsid w:val="1F1047C3"/>
    <w:rsid w:val="1F134CFA"/>
    <w:rsid w:val="1F2215D9"/>
    <w:rsid w:val="1F2649AF"/>
    <w:rsid w:val="1F264DD7"/>
    <w:rsid w:val="1F446C62"/>
    <w:rsid w:val="1F4E5D32"/>
    <w:rsid w:val="1F53568D"/>
    <w:rsid w:val="1F594E5D"/>
    <w:rsid w:val="1F5B0EDA"/>
    <w:rsid w:val="1F602885"/>
    <w:rsid w:val="1F680515"/>
    <w:rsid w:val="1F6E3CDF"/>
    <w:rsid w:val="1F764E6A"/>
    <w:rsid w:val="1F792DAF"/>
    <w:rsid w:val="1F7E108B"/>
    <w:rsid w:val="1F7F5C4A"/>
    <w:rsid w:val="1F7FBA87"/>
    <w:rsid w:val="1F817EB6"/>
    <w:rsid w:val="1F845B16"/>
    <w:rsid w:val="1F8972FD"/>
    <w:rsid w:val="1F8C32FF"/>
    <w:rsid w:val="1F923E71"/>
    <w:rsid w:val="1F953171"/>
    <w:rsid w:val="1F9E45C4"/>
    <w:rsid w:val="1FA140B4"/>
    <w:rsid w:val="1FA6338F"/>
    <w:rsid w:val="1FAD0CAB"/>
    <w:rsid w:val="1FAD1EFA"/>
    <w:rsid w:val="1FAD2A59"/>
    <w:rsid w:val="1FB33D60"/>
    <w:rsid w:val="1FB7B957"/>
    <w:rsid w:val="1FBC2C9C"/>
    <w:rsid w:val="1FBE20C7"/>
    <w:rsid w:val="1FC102B2"/>
    <w:rsid w:val="1FC57DA2"/>
    <w:rsid w:val="1FC701E4"/>
    <w:rsid w:val="1FC7CE1A"/>
    <w:rsid w:val="1FD20711"/>
    <w:rsid w:val="1FD41DEA"/>
    <w:rsid w:val="1FD61FB0"/>
    <w:rsid w:val="1FD73240"/>
    <w:rsid w:val="1FDF3A38"/>
    <w:rsid w:val="1FE47B4B"/>
    <w:rsid w:val="1FE535B5"/>
    <w:rsid w:val="1FE65F6B"/>
    <w:rsid w:val="1FEF16F3"/>
    <w:rsid w:val="1FEF98A7"/>
    <w:rsid w:val="1FF74575"/>
    <w:rsid w:val="1FF81FA6"/>
    <w:rsid w:val="2008481B"/>
    <w:rsid w:val="20142AD8"/>
    <w:rsid w:val="20157CA1"/>
    <w:rsid w:val="201A2537"/>
    <w:rsid w:val="20234AC9"/>
    <w:rsid w:val="202A40A9"/>
    <w:rsid w:val="202D1DEC"/>
    <w:rsid w:val="203E7B55"/>
    <w:rsid w:val="204004F3"/>
    <w:rsid w:val="2043693F"/>
    <w:rsid w:val="20444993"/>
    <w:rsid w:val="20511721"/>
    <w:rsid w:val="2053726E"/>
    <w:rsid w:val="20556D13"/>
    <w:rsid w:val="205B5B3D"/>
    <w:rsid w:val="20606DF8"/>
    <w:rsid w:val="206550E2"/>
    <w:rsid w:val="206F5F60"/>
    <w:rsid w:val="207215AC"/>
    <w:rsid w:val="2076109D"/>
    <w:rsid w:val="20915419"/>
    <w:rsid w:val="20915784"/>
    <w:rsid w:val="20A3249B"/>
    <w:rsid w:val="20A34A1A"/>
    <w:rsid w:val="20A80DDA"/>
    <w:rsid w:val="20B322F1"/>
    <w:rsid w:val="20B83463"/>
    <w:rsid w:val="20C65ED3"/>
    <w:rsid w:val="20C847C5"/>
    <w:rsid w:val="20C938C2"/>
    <w:rsid w:val="20D02EA3"/>
    <w:rsid w:val="20DD55C0"/>
    <w:rsid w:val="20E1559F"/>
    <w:rsid w:val="20E260F7"/>
    <w:rsid w:val="20E406FC"/>
    <w:rsid w:val="20EB6546"/>
    <w:rsid w:val="20EC135F"/>
    <w:rsid w:val="20FE40EF"/>
    <w:rsid w:val="2103170F"/>
    <w:rsid w:val="21050673"/>
    <w:rsid w:val="2117534C"/>
    <w:rsid w:val="212156C5"/>
    <w:rsid w:val="21323004"/>
    <w:rsid w:val="21424C45"/>
    <w:rsid w:val="21456069"/>
    <w:rsid w:val="214D44F3"/>
    <w:rsid w:val="215A451A"/>
    <w:rsid w:val="215E09BA"/>
    <w:rsid w:val="21645399"/>
    <w:rsid w:val="217750CC"/>
    <w:rsid w:val="21821CC3"/>
    <w:rsid w:val="218A38D3"/>
    <w:rsid w:val="218C669E"/>
    <w:rsid w:val="219230D9"/>
    <w:rsid w:val="219263AA"/>
    <w:rsid w:val="21A63C04"/>
    <w:rsid w:val="21AA36F4"/>
    <w:rsid w:val="21BA3745"/>
    <w:rsid w:val="21D15FB5"/>
    <w:rsid w:val="21DA1AFF"/>
    <w:rsid w:val="21E12E8E"/>
    <w:rsid w:val="21E62252"/>
    <w:rsid w:val="21E750C4"/>
    <w:rsid w:val="21EF529B"/>
    <w:rsid w:val="21F42BC1"/>
    <w:rsid w:val="22054579"/>
    <w:rsid w:val="22095A4E"/>
    <w:rsid w:val="220A0AE9"/>
    <w:rsid w:val="221C72AE"/>
    <w:rsid w:val="222114DC"/>
    <w:rsid w:val="2221328A"/>
    <w:rsid w:val="2221772E"/>
    <w:rsid w:val="2234120F"/>
    <w:rsid w:val="223675FC"/>
    <w:rsid w:val="2237219C"/>
    <w:rsid w:val="22396826"/>
    <w:rsid w:val="22422080"/>
    <w:rsid w:val="22466B66"/>
    <w:rsid w:val="224A27E1"/>
    <w:rsid w:val="224F71A8"/>
    <w:rsid w:val="22576C8F"/>
    <w:rsid w:val="227F2CA6"/>
    <w:rsid w:val="22833F45"/>
    <w:rsid w:val="22851FD8"/>
    <w:rsid w:val="228E6E2C"/>
    <w:rsid w:val="228F5C30"/>
    <w:rsid w:val="2297354C"/>
    <w:rsid w:val="229970D3"/>
    <w:rsid w:val="22A00653"/>
    <w:rsid w:val="22A55C69"/>
    <w:rsid w:val="22A7378F"/>
    <w:rsid w:val="22A915DF"/>
    <w:rsid w:val="22AC349C"/>
    <w:rsid w:val="22CC31F6"/>
    <w:rsid w:val="22D46F19"/>
    <w:rsid w:val="22E4064D"/>
    <w:rsid w:val="22F25AF7"/>
    <w:rsid w:val="22F64717"/>
    <w:rsid w:val="22FA2B18"/>
    <w:rsid w:val="22FA2BA5"/>
    <w:rsid w:val="22FC2204"/>
    <w:rsid w:val="230C2B61"/>
    <w:rsid w:val="230D3277"/>
    <w:rsid w:val="2318468D"/>
    <w:rsid w:val="231B23CF"/>
    <w:rsid w:val="23203542"/>
    <w:rsid w:val="23307197"/>
    <w:rsid w:val="2331574F"/>
    <w:rsid w:val="23482246"/>
    <w:rsid w:val="234E3ADF"/>
    <w:rsid w:val="2358371B"/>
    <w:rsid w:val="235E364C"/>
    <w:rsid w:val="23675615"/>
    <w:rsid w:val="2372455C"/>
    <w:rsid w:val="23736492"/>
    <w:rsid w:val="2375388E"/>
    <w:rsid w:val="237D6BE6"/>
    <w:rsid w:val="23863CED"/>
    <w:rsid w:val="238910E7"/>
    <w:rsid w:val="238B4BA3"/>
    <w:rsid w:val="23922691"/>
    <w:rsid w:val="23A10B26"/>
    <w:rsid w:val="23A14082"/>
    <w:rsid w:val="23AA2793"/>
    <w:rsid w:val="23BC3E2B"/>
    <w:rsid w:val="23C232D7"/>
    <w:rsid w:val="23CB16FF"/>
    <w:rsid w:val="23D17604"/>
    <w:rsid w:val="23D26F32"/>
    <w:rsid w:val="23D611EC"/>
    <w:rsid w:val="23DF51AB"/>
    <w:rsid w:val="23E45DF0"/>
    <w:rsid w:val="23F6731D"/>
    <w:rsid w:val="24007537"/>
    <w:rsid w:val="241A4435"/>
    <w:rsid w:val="2423153B"/>
    <w:rsid w:val="24263B14"/>
    <w:rsid w:val="2435126F"/>
    <w:rsid w:val="243674C1"/>
    <w:rsid w:val="2443398C"/>
    <w:rsid w:val="244F40DF"/>
    <w:rsid w:val="2456359A"/>
    <w:rsid w:val="24572F93"/>
    <w:rsid w:val="245F38BC"/>
    <w:rsid w:val="2463402E"/>
    <w:rsid w:val="249608A9"/>
    <w:rsid w:val="24976847"/>
    <w:rsid w:val="249A6BF7"/>
    <w:rsid w:val="249F05F8"/>
    <w:rsid w:val="24A02C63"/>
    <w:rsid w:val="24B93C4E"/>
    <w:rsid w:val="24D82CD6"/>
    <w:rsid w:val="24EB4807"/>
    <w:rsid w:val="25050C41"/>
    <w:rsid w:val="250B53E7"/>
    <w:rsid w:val="250E5D48"/>
    <w:rsid w:val="25196DF7"/>
    <w:rsid w:val="252208CD"/>
    <w:rsid w:val="25302162"/>
    <w:rsid w:val="25361604"/>
    <w:rsid w:val="253B0B07"/>
    <w:rsid w:val="253D41F6"/>
    <w:rsid w:val="253E32A5"/>
    <w:rsid w:val="255E0351"/>
    <w:rsid w:val="25657932"/>
    <w:rsid w:val="25710085"/>
    <w:rsid w:val="25757BD5"/>
    <w:rsid w:val="25795A1B"/>
    <w:rsid w:val="2580476C"/>
    <w:rsid w:val="25826736"/>
    <w:rsid w:val="25873D4C"/>
    <w:rsid w:val="258778A8"/>
    <w:rsid w:val="25893004"/>
    <w:rsid w:val="258B55EA"/>
    <w:rsid w:val="259212B1"/>
    <w:rsid w:val="259A050D"/>
    <w:rsid w:val="259C15A5"/>
    <w:rsid w:val="25B51178"/>
    <w:rsid w:val="25BC1C48"/>
    <w:rsid w:val="25BD32CA"/>
    <w:rsid w:val="25C455B2"/>
    <w:rsid w:val="25D86356"/>
    <w:rsid w:val="25DC5E46"/>
    <w:rsid w:val="25DD396C"/>
    <w:rsid w:val="25EE7C9B"/>
    <w:rsid w:val="25F5515A"/>
    <w:rsid w:val="25F6026B"/>
    <w:rsid w:val="260E3B25"/>
    <w:rsid w:val="26123616"/>
    <w:rsid w:val="261C6242"/>
    <w:rsid w:val="26263565"/>
    <w:rsid w:val="262D48F3"/>
    <w:rsid w:val="26355556"/>
    <w:rsid w:val="263606FF"/>
    <w:rsid w:val="263B7010"/>
    <w:rsid w:val="264834DB"/>
    <w:rsid w:val="26497163"/>
    <w:rsid w:val="264A7253"/>
    <w:rsid w:val="26500679"/>
    <w:rsid w:val="26527EB6"/>
    <w:rsid w:val="265C4C39"/>
    <w:rsid w:val="265F25D3"/>
    <w:rsid w:val="26600825"/>
    <w:rsid w:val="26630315"/>
    <w:rsid w:val="2666570F"/>
    <w:rsid w:val="26853288"/>
    <w:rsid w:val="268E6F67"/>
    <w:rsid w:val="26971D6D"/>
    <w:rsid w:val="26A71E26"/>
    <w:rsid w:val="26AA5544"/>
    <w:rsid w:val="26AC3A6A"/>
    <w:rsid w:val="26B24DF9"/>
    <w:rsid w:val="26BE19EF"/>
    <w:rsid w:val="26C012C4"/>
    <w:rsid w:val="26DF4592"/>
    <w:rsid w:val="26E00569"/>
    <w:rsid w:val="26E054C2"/>
    <w:rsid w:val="26E1123A"/>
    <w:rsid w:val="26E72615"/>
    <w:rsid w:val="26EC20B9"/>
    <w:rsid w:val="26F15921"/>
    <w:rsid w:val="27421CD9"/>
    <w:rsid w:val="27427F2B"/>
    <w:rsid w:val="27433CA3"/>
    <w:rsid w:val="27453FBA"/>
    <w:rsid w:val="275042F7"/>
    <w:rsid w:val="27514612"/>
    <w:rsid w:val="27595274"/>
    <w:rsid w:val="275A6DEB"/>
    <w:rsid w:val="276E51C4"/>
    <w:rsid w:val="276E6F72"/>
    <w:rsid w:val="27732DA4"/>
    <w:rsid w:val="27736336"/>
    <w:rsid w:val="277C3BB2"/>
    <w:rsid w:val="278247CB"/>
    <w:rsid w:val="27846795"/>
    <w:rsid w:val="27870033"/>
    <w:rsid w:val="278F6743"/>
    <w:rsid w:val="27930786"/>
    <w:rsid w:val="279D33B3"/>
    <w:rsid w:val="27A961FC"/>
    <w:rsid w:val="27AD1ADB"/>
    <w:rsid w:val="27B2436A"/>
    <w:rsid w:val="27C60B5C"/>
    <w:rsid w:val="27C70430"/>
    <w:rsid w:val="27D02541"/>
    <w:rsid w:val="27DD5A4C"/>
    <w:rsid w:val="27E12985"/>
    <w:rsid w:val="27E25353"/>
    <w:rsid w:val="27E87F24"/>
    <w:rsid w:val="27FC27CF"/>
    <w:rsid w:val="27FC7D0D"/>
    <w:rsid w:val="27FD68EB"/>
    <w:rsid w:val="28013942"/>
    <w:rsid w:val="28090A48"/>
    <w:rsid w:val="280A5C96"/>
    <w:rsid w:val="281A4E61"/>
    <w:rsid w:val="282B09BF"/>
    <w:rsid w:val="285E6FE6"/>
    <w:rsid w:val="2868305D"/>
    <w:rsid w:val="286B2B26"/>
    <w:rsid w:val="28790343"/>
    <w:rsid w:val="28793E20"/>
    <w:rsid w:val="287F1375"/>
    <w:rsid w:val="287F6F5C"/>
    <w:rsid w:val="28A075FF"/>
    <w:rsid w:val="28A349F9"/>
    <w:rsid w:val="28A52B3B"/>
    <w:rsid w:val="28A6098D"/>
    <w:rsid w:val="28AF206A"/>
    <w:rsid w:val="28B01054"/>
    <w:rsid w:val="28B236CF"/>
    <w:rsid w:val="28B25693"/>
    <w:rsid w:val="28C130D1"/>
    <w:rsid w:val="28C570E1"/>
    <w:rsid w:val="28DF17A9"/>
    <w:rsid w:val="28E76FDC"/>
    <w:rsid w:val="28EB309B"/>
    <w:rsid w:val="28F75508"/>
    <w:rsid w:val="2903193C"/>
    <w:rsid w:val="290731DA"/>
    <w:rsid w:val="290A0F1C"/>
    <w:rsid w:val="290B1084"/>
    <w:rsid w:val="290F75E7"/>
    <w:rsid w:val="2912392D"/>
    <w:rsid w:val="29166F90"/>
    <w:rsid w:val="292E4C0A"/>
    <w:rsid w:val="29332221"/>
    <w:rsid w:val="294855A0"/>
    <w:rsid w:val="29542197"/>
    <w:rsid w:val="2960467D"/>
    <w:rsid w:val="29613A86"/>
    <w:rsid w:val="296323DA"/>
    <w:rsid w:val="296548F8"/>
    <w:rsid w:val="29784198"/>
    <w:rsid w:val="29787C34"/>
    <w:rsid w:val="297B3E52"/>
    <w:rsid w:val="297B5976"/>
    <w:rsid w:val="298715F1"/>
    <w:rsid w:val="29936305"/>
    <w:rsid w:val="29946A38"/>
    <w:rsid w:val="299532F3"/>
    <w:rsid w:val="29974A4D"/>
    <w:rsid w:val="29997709"/>
    <w:rsid w:val="299E5F10"/>
    <w:rsid w:val="29AC1FD3"/>
    <w:rsid w:val="29BA10AB"/>
    <w:rsid w:val="29BB5F06"/>
    <w:rsid w:val="29CC22EE"/>
    <w:rsid w:val="29D05CC2"/>
    <w:rsid w:val="29D357B2"/>
    <w:rsid w:val="29D45FF2"/>
    <w:rsid w:val="29DA08EE"/>
    <w:rsid w:val="29DB01C2"/>
    <w:rsid w:val="29DF329C"/>
    <w:rsid w:val="29EB2AFB"/>
    <w:rsid w:val="29ED4157"/>
    <w:rsid w:val="29F3375E"/>
    <w:rsid w:val="2A1C2CB5"/>
    <w:rsid w:val="2A263428"/>
    <w:rsid w:val="2A2B2EF8"/>
    <w:rsid w:val="2A2F2734"/>
    <w:rsid w:val="2A314286"/>
    <w:rsid w:val="2A385615"/>
    <w:rsid w:val="2A394281"/>
    <w:rsid w:val="2A5E32CD"/>
    <w:rsid w:val="2A7228D5"/>
    <w:rsid w:val="2A726D79"/>
    <w:rsid w:val="2A755335"/>
    <w:rsid w:val="2A765327"/>
    <w:rsid w:val="2A836F14"/>
    <w:rsid w:val="2A837C3F"/>
    <w:rsid w:val="2A8D5961"/>
    <w:rsid w:val="2A9F38E6"/>
    <w:rsid w:val="2AA47167"/>
    <w:rsid w:val="2AA65B04"/>
    <w:rsid w:val="2AA9230C"/>
    <w:rsid w:val="2AAF1D7B"/>
    <w:rsid w:val="2AB01C7C"/>
    <w:rsid w:val="2AC11AAE"/>
    <w:rsid w:val="2ACB0237"/>
    <w:rsid w:val="2AD52E64"/>
    <w:rsid w:val="2AD753E6"/>
    <w:rsid w:val="2AD92954"/>
    <w:rsid w:val="2AF07C9E"/>
    <w:rsid w:val="2AF43C32"/>
    <w:rsid w:val="2AF552B4"/>
    <w:rsid w:val="2AFBC5FC"/>
    <w:rsid w:val="2B083239"/>
    <w:rsid w:val="2B0B4AD7"/>
    <w:rsid w:val="2B0D6AA1"/>
    <w:rsid w:val="2B124134"/>
    <w:rsid w:val="2B1B11BE"/>
    <w:rsid w:val="2B1C4F36"/>
    <w:rsid w:val="2B2067D5"/>
    <w:rsid w:val="2B3B53BD"/>
    <w:rsid w:val="2B4F74FE"/>
    <w:rsid w:val="2B564F27"/>
    <w:rsid w:val="2B5F2E8E"/>
    <w:rsid w:val="2B644C3D"/>
    <w:rsid w:val="2B6761B2"/>
    <w:rsid w:val="2B6A7561"/>
    <w:rsid w:val="2B7408CF"/>
    <w:rsid w:val="2B7663F5"/>
    <w:rsid w:val="2B773C36"/>
    <w:rsid w:val="2B797C93"/>
    <w:rsid w:val="2B823F35"/>
    <w:rsid w:val="2B8C3E6A"/>
    <w:rsid w:val="2B8E6E6D"/>
    <w:rsid w:val="2B8F74B6"/>
    <w:rsid w:val="2B95320E"/>
    <w:rsid w:val="2B9A40D3"/>
    <w:rsid w:val="2BA07916"/>
    <w:rsid w:val="2BA74800"/>
    <w:rsid w:val="2BAF1907"/>
    <w:rsid w:val="2BC43604"/>
    <w:rsid w:val="2BCA4992"/>
    <w:rsid w:val="2BCA6CEA"/>
    <w:rsid w:val="2BD63337"/>
    <w:rsid w:val="2BD82C0B"/>
    <w:rsid w:val="2BDC2DCC"/>
    <w:rsid w:val="2BDE1C51"/>
    <w:rsid w:val="2BDF21EC"/>
    <w:rsid w:val="2BFA5278"/>
    <w:rsid w:val="2BFF463C"/>
    <w:rsid w:val="2C077995"/>
    <w:rsid w:val="2C180E26"/>
    <w:rsid w:val="2C3562B0"/>
    <w:rsid w:val="2C42277B"/>
    <w:rsid w:val="2C437476"/>
    <w:rsid w:val="2C4604BD"/>
    <w:rsid w:val="2C5B55EB"/>
    <w:rsid w:val="2C5F26BC"/>
    <w:rsid w:val="2C624BCB"/>
    <w:rsid w:val="2C665AE5"/>
    <w:rsid w:val="2C666469"/>
    <w:rsid w:val="2C677E7C"/>
    <w:rsid w:val="2C6926CC"/>
    <w:rsid w:val="2C7843EE"/>
    <w:rsid w:val="2C7C3EDF"/>
    <w:rsid w:val="2C7D37B3"/>
    <w:rsid w:val="2C866B0B"/>
    <w:rsid w:val="2C8B4122"/>
    <w:rsid w:val="2C9E3F74"/>
    <w:rsid w:val="2CA3146B"/>
    <w:rsid w:val="2CA71ED7"/>
    <w:rsid w:val="2CA945A8"/>
    <w:rsid w:val="2CAE1BBE"/>
    <w:rsid w:val="2CB847EB"/>
    <w:rsid w:val="2CCA3A5B"/>
    <w:rsid w:val="2CCB09C2"/>
    <w:rsid w:val="2CD5741D"/>
    <w:rsid w:val="2CD755B9"/>
    <w:rsid w:val="2CDA29B3"/>
    <w:rsid w:val="2D067C4C"/>
    <w:rsid w:val="2D0B7011"/>
    <w:rsid w:val="2D0F63D6"/>
    <w:rsid w:val="2D19172E"/>
    <w:rsid w:val="2D215175"/>
    <w:rsid w:val="2D2B1461"/>
    <w:rsid w:val="2D2D51D9"/>
    <w:rsid w:val="2D2E552D"/>
    <w:rsid w:val="2D3C2DC7"/>
    <w:rsid w:val="2D3E5041"/>
    <w:rsid w:val="2D480265"/>
    <w:rsid w:val="2D483DC1"/>
    <w:rsid w:val="2D485B6F"/>
    <w:rsid w:val="2D4B565F"/>
    <w:rsid w:val="2D4D587B"/>
    <w:rsid w:val="2D51509D"/>
    <w:rsid w:val="2D5922EB"/>
    <w:rsid w:val="2D656721"/>
    <w:rsid w:val="2D6C3F53"/>
    <w:rsid w:val="2D7070E6"/>
    <w:rsid w:val="2D7B5F44"/>
    <w:rsid w:val="2D8079FF"/>
    <w:rsid w:val="2D8114FB"/>
    <w:rsid w:val="2D9275CC"/>
    <w:rsid w:val="2D9E5A09"/>
    <w:rsid w:val="2DA03BFD"/>
    <w:rsid w:val="2DB256DE"/>
    <w:rsid w:val="2DBD030B"/>
    <w:rsid w:val="2DBE6880"/>
    <w:rsid w:val="2DCE2518"/>
    <w:rsid w:val="2DD438A6"/>
    <w:rsid w:val="2DD90EBD"/>
    <w:rsid w:val="2DFB52D7"/>
    <w:rsid w:val="2E146672"/>
    <w:rsid w:val="2E195B6E"/>
    <w:rsid w:val="2E262354"/>
    <w:rsid w:val="2E3031D3"/>
    <w:rsid w:val="2E3305CD"/>
    <w:rsid w:val="2E344345"/>
    <w:rsid w:val="2E362D98"/>
    <w:rsid w:val="2E3758CB"/>
    <w:rsid w:val="2E3F51C4"/>
    <w:rsid w:val="2E40086E"/>
    <w:rsid w:val="2E5A09CB"/>
    <w:rsid w:val="2E7A61FC"/>
    <w:rsid w:val="2E7BAFCA"/>
    <w:rsid w:val="2E85202A"/>
    <w:rsid w:val="2E884DBD"/>
    <w:rsid w:val="2E9402F8"/>
    <w:rsid w:val="2EA94167"/>
    <w:rsid w:val="2EAD65D1"/>
    <w:rsid w:val="2EBF4557"/>
    <w:rsid w:val="2EC706F7"/>
    <w:rsid w:val="2ECB4CA9"/>
    <w:rsid w:val="2ED80F4B"/>
    <w:rsid w:val="2EE239E8"/>
    <w:rsid w:val="2EE61AE3"/>
    <w:rsid w:val="2EE66344"/>
    <w:rsid w:val="2EFD4957"/>
    <w:rsid w:val="2EFEC199"/>
    <w:rsid w:val="2F0902B7"/>
    <w:rsid w:val="2F1A178D"/>
    <w:rsid w:val="2F2D326E"/>
    <w:rsid w:val="2F2F348A"/>
    <w:rsid w:val="2F320885"/>
    <w:rsid w:val="2F3565C7"/>
    <w:rsid w:val="2F3A3BDD"/>
    <w:rsid w:val="2F3C7955"/>
    <w:rsid w:val="2F3DA990"/>
    <w:rsid w:val="2F405011"/>
    <w:rsid w:val="2F4F1437"/>
    <w:rsid w:val="2F522CD5"/>
    <w:rsid w:val="2F5F0F53"/>
    <w:rsid w:val="2F633134"/>
    <w:rsid w:val="2F6A001E"/>
    <w:rsid w:val="2F70551E"/>
    <w:rsid w:val="2F7756C8"/>
    <w:rsid w:val="2F797671"/>
    <w:rsid w:val="2F7F7D6B"/>
    <w:rsid w:val="2F875074"/>
    <w:rsid w:val="2F8E270B"/>
    <w:rsid w:val="2F900653"/>
    <w:rsid w:val="2F9B7612"/>
    <w:rsid w:val="2FA3112C"/>
    <w:rsid w:val="2FAD43AF"/>
    <w:rsid w:val="2FAE71E3"/>
    <w:rsid w:val="2FB2524C"/>
    <w:rsid w:val="2FBD771E"/>
    <w:rsid w:val="2FBF7029"/>
    <w:rsid w:val="2FC53494"/>
    <w:rsid w:val="2FC969DD"/>
    <w:rsid w:val="2FCF4325"/>
    <w:rsid w:val="2FD61B58"/>
    <w:rsid w:val="2FDA583E"/>
    <w:rsid w:val="2FDD746B"/>
    <w:rsid w:val="2FE4488D"/>
    <w:rsid w:val="2FEFB96F"/>
    <w:rsid w:val="2FF43D8C"/>
    <w:rsid w:val="2FF87D20"/>
    <w:rsid w:val="2FFF78A7"/>
    <w:rsid w:val="2FFF80DC"/>
    <w:rsid w:val="2FFF82CC"/>
    <w:rsid w:val="30020A77"/>
    <w:rsid w:val="300517DE"/>
    <w:rsid w:val="300630C6"/>
    <w:rsid w:val="30066E7C"/>
    <w:rsid w:val="30165954"/>
    <w:rsid w:val="301B756B"/>
    <w:rsid w:val="301E5768"/>
    <w:rsid w:val="30316D8E"/>
    <w:rsid w:val="30330D58"/>
    <w:rsid w:val="303D3985"/>
    <w:rsid w:val="303E6135"/>
    <w:rsid w:val="3042368C"/>
    <w:rsid w:val="30513288"/>
    <w:rsid w:val="30572A1E"/>
    <w:rsid w:val="305F1B4D"/>
    <w:rsid w:val="30661878"/>
    <w:rsid w:val="306B4F17"/>
    <w:rsid w:val="30731155"/>
    <w:rsid w:val="308710A4"/>
    <w:rsid w:val="308C2216"/>
    <w:rsid w:val="3090102A"/>
    <w:rsid w:val="309663C6"/>
    <w:rsid w:val="30986E0D"/>
    <w:rsid w:val="30A91B33"/>
    <w:rsid w:val="30B06902"/>
    <w:rsid w:val="30B874AF"/>
    <w:rsid w:val="30BB6902"/>
    <w:rsid w:val="30C61BCC"/>
    <w:rsid w:val="30D76C7D"/>
    <w:rsid w:val="30DA5678"/>
    <w:rsid w:val="30E52087"/>
    <w:rsid w:val="30F62060"/>
    <w:rsid w:val="31015D61"/>
    <w:rsid w:val="31040C90"/>
    <w:rsid w:val="310426F5"/>
    <w:rsid w:val="31091081"/>
    <w:rsid w:val="310C4204"/>
    <w:rsid w:val="310E70CF"/>
    <w:rsid w:val="31101099"/>
    <w:rsid w:val="31132938"/>
    <w:rsid w:val="311664F0"/>
    <w:rsid w:val="31197EE6"/>
    <w:rsid w:val="31240227"/>
    <w:rsid w:val="31244B45"/>
    <w:rsid w:val="31264419"/>
    <w:rsid w:val="3128427D"/>
    <w:rsid w:val="312863E3"/>
    <w:rsid w:val="312B2423"/>
    <w:rsid w:val="312E5A3D"/>
    <w:rsid w:val="31324B8F"/>
    <w:rsid w:val="31372587"/>
    <w:rsid w:val="313E6ADA"/>
    <w:rsid w:val="314174A5"/>
    <w:rsid w:val="31435775"/>
    <w:rsid w:val="3148438F"/>
    <w:rsid w:val="31494F65"/>
    <w:rsid w:val="315C42DF"/>
    <w:rsid w:val="31620395"/>
    <w:rsid w:val="316D6892"/>
    <w:rsid w:val="317119AA"/>
    <w:rsid w:val="317F4543"/>
    <w:rsid w:val="31A04A78"/>
    <w:rsid w:val="31BB7257"/>
    <w:rsid w:val="31BE4652"/>
    <w:rsid w:val="31C003CA"/>
    <w:rsid w:val="31CA573B"/>
    <w:rsid w:val="31CF6EBC"/>
    <w:rsid w:val="31D11E86"/>
    <w:rsid w:val="31E14EC5"/>
    <w:rsid w:val="31E40435"/>
    <w:rsid w:val="31E542D4"/>
    <w:rsid w:val="31E7409C"/>
    <w:rsid w:val="31E85B72"/>
    <w:rsid w:val="31EF5153"/>
    <w:rsid w:val="31F369F1"/>
    <w:rsid w:val="32036508"/>
    <w:rsid w:val="320A7220"/>
    <w:rsid w:val="320E7EC4"/>
    <w:rsid w:val="320F30FF"/>
    <w:rsid w:val="3212499D"/>
    <w:rsid w:val="32145110"/>
    <w:rsid w:val="32171FB4"/>
    <w:rsid w:val="322748ED"/>
    <w:rsid w:val="322C25CB"/>
    <w:rsid w:val="32317519"/>
    <w:rsid w:val="32456B3F"/>
    <w:rsid w:val="32462C0D"/>
    <w:rsid w:val="32565E27"/>
    <w:rsid w:val="325D20BC"/>
    <w:rsid w:val="32696CB3"/>
    <w:rsid w:val="326C082A"/>
    <w:rsid w:val="328A09D8"/>
    <w:rsid w:val="328E4700"/>
    <w:rsid w:val="3296737C"/>
    <w:rsid w:val="329B2BE5"/>
    <w:rsid w:val="32A45F3D"/>
    <w:rsid w:val="32BC3287"/>
    <w:rsid w:val="32BD6FFF"/>
    <w:rsid w:val="32DEE1D0"/>
    <w:rsid w:val="32E012B1"/>
    <w:rsid w:val="32E7407C"/>
    <w:rsid w:val="32F24425"/>
    <w:rsid w:val="32F3657D"/>
    <w:rsid w:val="32F3A2B5"/>
    <w:rsid w:val="32FB17B4"/>
    <w:rsid w:val="32FF13C6"/>
    <w:rsid w:val="33092677"/>
    <w:rsid w:val="330E5059"/>
    <w:rsid w:val="3317670F"/>
    <w:rsid w:val="33277341"/>
    <w:rsid w:val="332E5807"/>
    <w:rsid w:val="33337192"/>
    <w:rsid w:val="334212B2"/>
    <w:rsid w:val="33437504"/>
    <w:rsid w:val="33564B93"/>
    <w:rsid w:val="336B3220"/>
    <w:rsid w:val="336B6A5B"/>
    <w:rsid w:val="33705E1F"/>
    <w:rsid w:val="337436F9"/>
    <w:rsid w:val="33753436"/>
    <w:rsid w:val="337E11CF"/>
    <w:rsid w:val="33843679"/>
    <w:rsid w:val="33851EC3"/>
    <w:rsid w:val="33925D96"/>
    <w:rsid w:val="33977850"/>
    <w:rsid w:val="33AF71B4"/>
    <w:rsid w:val="33C806D6"/>
    <w:rsid w:val="33C85C5B"/>
    <w:rsid w:val="33CA8FE9"/>
    <w:rsid w:val="33D73F74"/>
    <w:rsid w:val="33DF336D"/>
    <w:rsid w:val="33DFA188"/>
    <w:rsid w:val="33F72BD7"/>
    <w:rsid w:val="33F78534"/>
    <w:rsid w:val="340547BA"/>
    <w:rsid w:val="340A166E"/>
    <w:rsid w:val="340D7B12"/>
    <w:rsid w:val="341D5FA7"/>
    <w:rsid w:val="342015F4"/>
    <w:rsid w:val="342F4E2C"/>
    <w:rsid w:val="342F5CDB"/>
    <w:rsid w:val="343230D5"/>
    <w:rsid w:val="34362BC5"/>
    <w:rsid w:val="343E1A7A"/>
    <w:rsid w:val="34411DCF"/>
    <w:rsid w:val="345D45F6"/>
    <w:rsid w:val="347100A1"/>
    <w:rsid w:val="3474193F"/>
    <w:rsid w:val="34776F15"/>
    <w:rsid w:val="348B3CA8"/>
    <w:rsid w:val="348F22D5"/>
    <w:rsid w:val="349A13A6"/>
    <w:rsid w:val="349D49F2"/>
    <w:rsid w:val="34A246FE"/>
    <w:rsid w:val="34A43FD3"/>
    <w:rsid w:val="34A47477"/>
    <w:rsid w:val="34A73AC3"/>
    <w:rsid w:val="34B561E0"/>
    <w:rsid w:val="34B7733E"/>
    <w:rsid w:val="34B8182C"/>
    <w:rsid w:val="34B87A7E"/>
    <w:rsid w:val="34BB756E"/>
    <w:rsid w:val="34C71A6F"/>
    <w:rsid w:val="34CB5A03"/>
    <w:rsid w:val="34CD43CA"/>
    <w:rsid w:val="34DD74E5"/>
    <w:rsid w:val="34E04472"/>
    <w:rsid w:val="34E9438A"/>
    <w:rsid w:val="34E95E89"/>
    <w:rsid w:val="34EB1C02"/>
    <w:rsid w:val="34EE524E"/>
    <w:rsid w:val="34F46F23"/>
    <w:rsid w:val="35010901"/>
    <w:rsid w:val="35054CFD"/>
    <w:rsid w:val="35076310"/>
    <w:rsid w:val="35123632"/>
    <w:rsid w:val="35221037"/>
    <w:rsid w:val="353A4937"/>
    <w:rsid w:val="35487054"/>
    <w:rsid w:val="35521C81"/>
    <w:rsid w:val="3558755C"/>
    <w:rsid w:val="35610116"/>
    <w:rsid w:val="356419B4"/>
    <w:rsid w:val="356674DA"/>
    <w:rsid w:val="35675000"/>
    <w:rsid w:val="356D0868"/>
    <w:rsid w:val="35773495"/>
    <w:rsid w:val="357F234A"/>
    <w:rsid w:val="358362DE"/>
    <w:rsid w:val="358A1A62"/>
    <w:rsid w:val="358A4B07"/>
    <w:rsid w:val="358B0CEF"/>
    <w:rsid w:val="359163ED"/>
    <w:rsid w:val="3596247A"/>
    <w:rsid w:val="3598340C"/>
    <w:rsid w:val="3598597D"/>
    <w:rsid w:val="35A969D6"/>
    <w:rsid w:val="35AA79C1"/>
    <w:rsid w:val="35AB313F"/>
    <w:rsid w:val="35B5220F"/>
    <w:rsid w:val="35B727D1"/>
    <w:rsid w:val="35BA15D4"/>
    <w:rsid w:val="35C0308E"/>
    <w:rsid w:val="35D428D3"/>
    <w:rsid w:val="35D95EFE"/>
    <w:rsid w:val="35DE1766"/>
    <w:rsid w:val="35F4511C"/>
    <w:rsid w:val="3600792F"/>
    <w:rsid w:val="36145188"/>
    <w:rsid w:val="3619279E"/>
    <w:rsid w:val="361C0D02"/>
    <w:rsid w:val="3627310D"/>
    <w:rsid w:val="362A5E2D"/>
    <w:rsid w:val="36370748"/>
    <w:rsid w:val="36394BEF"/>
    <w:rsid w:val="363B383D"/>
    <w:rsid w:val="36405F7D"/>
    <w:rsid w:val="36413AA3"/>
    <w:rsid w:val="36484E32"/>
    <w:rsid w:val="364C4922"/>
    <w:rsid w:val="36534573"/>
    <w:rsid w:val="36592B9B"/>
    <w:rsid w:val="365D6B2F"/>
    <w:rsid w:val="366F23BE"/>
    <w:rsid w:val="36726CB5"/>
    <w:rsid w:val="367D1B25"/>
    <w:rsid w:val="367D5540"/>
    <w:rsid w:val="367F4CF7"/>
    <w:rsid w:val="36835E6A"/>
    <w:rsid w:val="369E2CA4"/>
    <w:rsid w:val="36A67671"/>
    <w:rsid w:val="36AF6C5F"/>
    <w:rsid w:val="36BD137C"/>
    <w:rsid w:val="36BE7606"/>
    <w:rsid w:val="36C70CEB"/>
    <w:rsid w:val="36D05553"/>
    <w:rsid w:val="36DF5796"/>
    <w:rsid w:val="36E51F4E"/>
    <w:rsid w:val="36F32FEF"/>
    <w:rsid w:val="36F81DF1"/>
    <w:rsid w:val="36FE30BE"/>
    <w:rsid w:val="37022309"/>
    <w:rsid w:val="370C2303"/>
    <w:rsid w:val="371306D5"/>
    <w:rsid w:val="37157582"/>
    <w:rsid w:val="371B2276"/>
    <w:rsid w:val="37225683"/>
    <w:rsid w:val="37227D0E"/>
    <w:rsid w:val="37307DA0"/>
    <w:rsid w:val="37325B83"/>
    <w:rsid w:val="37421881"/>
    <w:rsid w:val="374455F9"/>
    <w:rsid w:val="374750E9"/>
    <w:rsid w:val="37632F2F"/>
    <w:rsid w:val="37652F7B"/>
    <w:rsid w:val="37667C65"/>
    <w:rsid w:val="3788258A"/>
    <w:rsid w:val="378974B0"/>
    <w:rsid w:val="378B3228"/>
    <w:rsid w:val="379F77DE"/>
    <w:rsid w:val="37B20112"/>
    <w:rsid w:val="37B7226F"/>
    <w:rsid w:val="37BA1D5F"/>
    <w:rsid w:val="37BFDEC8"/>
    <w:rsid w:val="37C462A2"/>
    <w:rsid w:val="37D03331"/>
    <w:rsid w:val="37EA7E07"/>
    <w:rsid w:val="37F05781"/>
    <w:rsid w:val="37FB04C5"/>
    <w:rsid w:val="37FF0A44"/>
    <w:rsid w:val="38002096"/>
    <w:rsid w:val="38064FA4"/>
    <w:rsid w:val="380A05F1"/>
    <w:rsid w:val="38172D0E"/>
    <w:rsid w:val="38392C84"/>
    <w:rsid w:val="383C09C6"/>
    <w:rsid w:val="38543F62"/>
    <w:rsid w:val="385D3285"/>
    <w:rsid w:val="385E093C"/>
    <w:rsid w:val="385E6B8E"/>
    <w:rsid w:val="387D4261"/>
    <w:rsid w:val="38800876"/>
    <w:rsid w:val="38826345"/>
    <w:rsid w:val="38866F49"/>
    <w:rsid w:val="388B52BA"/>
    <w:rsid w:val="38962237"/>
    <w:rsid w:val="38A03D66"/>
    <w:rsid w:val="38A81BB8"/>
    <w:rsid w:val="38A82990"/>
    <w:rsid w:val="38AA5930"/>
    <w:rsid w:val="38AC5B4C"/>
    <w:rsid w:val="38BD5339"/>
    <w:rsid w:val="38C033A5"/>
    <w:rsid w:val="38CE5AC2"/>
    <w:rsid w:val="38D90402"/>
    <w:rsid w:val="38DC3FEA"/>
    <w:rsid w:val="38F512A1"/>
    <w:rsid w:val="39011D0C"/>
    <w:rsid w:val="390402F5"/>
    <w:rsid w:val="39184F8F"/>
    <w:rsid w:val="39290F4A"/>
    <w:rsid w:val="392B2900"/>
    <w:rsid w:val="392F4087"/>
    <w:rsid w:val="39354AC7"/>
    <w:rsid w:val="39355B41"/>
    <w:rsid w:val="39397253"/>
    <w:rsid w:val="394F2215"/>
    <w:rsid w:val="39510164"/>
    <w:rsid w:val="395A1104"/>
    <w:rsid w:val="395C263C"/>
    <w:rsid w:val="395D6E46"/>
    <w:rsid w:val="395E11AB"/>
    <w:rsid w:val="39614411"/>
    <w:rsid w:val="39627FB8"/>
    <w:rsid w:val="39694891"/>
    <w:rsid w:val="39740298"/>
    <w:rsid w:val="39785A2E"/>
    <w:rsid w:val="398E6FFF"/>
    <w:rsid w:val="39900FC9"/>
    <w:rsid w:val="39965EB4"/>
    <w:rsid w:val="39B5458C"/>
    <w:rsid w:val="39C46EC5"/>
    <w:rsid w:val="39C9371E"/>
    <w:rsid w:val="39CC67A7"/>
    <w:rsid w:val="39D0586A"/>
    <w:rsid w:val="39D32C64"/>
    <w:rsid w:val="39D569DC"/>
    <w:rsid w:val="39DC5FBD"/>
    <w:rsid w:val="39DD3485"/>
    <w:rsid w:val="39DF324C"/>
    <w:rsid w:val="39DF9E56"/>
    <w:rsid w:val="39E46A06"/>
    <w:rsid w:val="39F03816"/>
    <w:rsid w:val="39F21A1E"/>
    <w:rsid w:val="39FA6FAE"/>
    <w:rsid w:val="39FC0A9B"/>
    <w:rsid w:val="39FC665F"/>
    <w:rsid w:val="3A013C4A"/>
    <w:rsid w:val="3A0E1EEE"/>
    <w:rsid w:val="3A2160C5"/>
    <w:rsid w:val="3A345DF9"/>
    <w:rsid w:val="3A4818A4"/>
    <w:rsid w:val="3A5C6178"/>
    <w:rsid w:val="3A5EDAAB"/>
    <w:rsid w:val="3A695377"/>
    <w:rsid w:val="3A766411"/>
    <w:rsid w:val="3A7E4E86"/>
    <w:rsid w:val="3A80103E"/>
    <w:rsid w:val="3A8723CC"/>
    <w:rsid w:val="3A9248CD"/>
    <w:rsid w:val="3AA20FB4"/>
    <w:rsid w:val="3AA23274"/>
    <w:rsid w:val="3AA27206"/>
    <w:rsid w:val="3AAF33CB"/>
    <w:rsid w:val="3AB807D8"/>
    <w:rsid w:val="3AC3789B"/>
    <w:rsid w:val="3AD16E8E"/>
    <w:rsid w:val="3AD8049E"/>
    <w:rsid w:val="3AD9074E"/>
    <w:rsid w:val="3AD96C13"/>
    <w:rsid w:val="3ADB1581"/>
    <w:rsid w:val="3ADE3FB6"/>
    <w:rsid w:val="3AEF3ACE"/>
    <w:rsid w:val="3AF31BF8"/>
    <w:rsid w:val="3AF90F4C"/>
    <w:rsid w:val="3AF9494C"/>
    <w:rsid w:val="3AFE1F63"/>
    <w:rsid w:val="3B005CDB"/>
    <w:rsid w:val="3B0A6B5A"/>
    <w:rsid w:val="3B1B0D67"/>
    <w:rsid w:val="3B1D3B4F"/>
    <w:rsid w:val="3B295232"/>
    <w:rsid w:val="3B304812"/>
    <w:rsid w:val="3B3360B0"/>
    <w:rsid w:val="3B340BFE"/>
    <w:rsid w:val="3B396D80"/>
    <w:rsid w:val="3B3FE308"/>
    <w:rsid w:val="3B455DE4"/>
    <w:rsid w:val="3B55461B"/>
    <w:rsid w:val="3B5C31EF"/>
    <w:rsid w:val="3B651FE2"/>
    <w:rsid w:val="3B6C15C2"/>
    <w:rsid w:val="3B6E0E96"/>
    <w:rsid w:val="3B7FA7CF"/>
    <w:rsid w:val="3B822B94"/>
    <w:rsid w:val="3B8701AA"/>
    <w:rsid w:val="3B893F22"/>
    <w:rsid w:val="3B9528C7"/>
    <w:rsid w:val="3B9D79CE"/>
    <w:rsid w:val="3B9FA156"/>
    <w:rsid w:val="3BA7084C"/>
    <w:rsid w:val="3BB94E28"/>
    <w:rsid w:val="3BBA232E"/>
    <w:rsid w:val="3BBA40DC"/>
    <w:rsid w:val="3BBD3932"/>
    <w:rsid w:val="3BC4015E"/>
    <w:rsid w:val="3BC81A35"/>
    <w:rsid w:val="3BCE5CD2"/>
    <w:rsid w:val="3BCE7B87"/>
    <w:rsid w:val="3BD34A23"/>
    <w:rsid w:val="3BDE551A"/>
    <w:rsid w:val="3BDF3B42"/>
    <w:rsid w:val="3BE2BF73"/>
    <w:rsid w:val="3BE328A7"/>
    <w:rsid w:val="3BE81FCD"/>
    <w:rsid w:val="3BED4979"/>
    <w:rsid w:val="3BEF5E66"/>
    <w:rsid w:val="3BEFAC23"/>
    <w:rsid w:val="3BF05D4F"/>
    <w:rsid w:val="3BFE3600"/>
    <w:rsid w:val="3BFF14B0"/>
    <w:rsid w:val="3BFF5F92"/>
    <w:rsid w:val="3BFF8D89"/>
    <w:rsid w:val="3C0211D4"/>
    <w:rsid w:val="3C0B2B89"/>
    <w:rsid w:val="3C29300F"/>
    <w:rsid w:val="3C2A51B6"/>
    <w:rsid w:val="3C2D5AC6"/>
    <w:rsid w:val="3C2E0626"/>
    <w:rsid w:val="3C300842"/>
    <w:rsid w:val="3C4215C7"/>
    <w:rsid w:val="3C4C1482"/>
    <w:rsid w:val="3C587C0F"/>
    <w:rsid w:val="3C5BFCBE"/>
    <w:rsid w:val="3C5F6234"/>
    <w:rsid w:val="3C65673D"/>
    <w:rsid w:val="3C667DC0"/>
    <w:rsid w:val="3C6978B0"/>
    <w:rsid w:val="3C700C3E"/>
    <w:rsid w:val="3C982D4A"/>
    <w:rsid w:val="3C9B215F"/>
    <w:rsid w:val="3CAA05F4"/>
    <w:rsid w:val="3CAD3C40"/>
    <w:rsid w:val="3CB44FCF"/>
    <w:rsid w:val="3CBA32CF"/>
    <w:rsid w:val="3CBB1539"/>
    <w:rsid w:val="3CBF4F4E"/>
    <w:rsid w:val="3CD25455"/>
    <w:rsid w:val="3CE55188"/>
    <w:rsid w:val="3CF11D7F"/>
    <w:rsid w:val="3CF63839"/>
    <w:rsid w:val="3CFC0724"/>
    <w:rsid w:val="3CFC4A73"/>
    <w:rsid w:val="3CFD097D"/>
    <w:rsid w:val="3D0C3209"/>
    <w:rsid w:val="3D113054"/>
    <w:rsid w:val="3D2757A1"/>
    <w:rsid w:val="3D340877"/>
    <w:rsid w:val="3D4A5933"/>
    <w:rsid w:val="3D5123A5"/>
    <w:rsid w:val="3D516CC2"/>
    <w:rsid w:val="3D54230E"/>
    <w:rsid w:val="3D5565A9"/>
    <w:rsid w:val="3D6407A3"/>
    <w:rsid w:val="3D764B63"/>
    <w:rsid w:val="3D7658EC"/>
    <w:rsid w:val="3D7D4325"/>
    <w:rsid w:val="3D864BBD"/>
    <w:rsid w:val="3D8A5D30"/>
    <w:rsid w:val="3D96629C"/>
    <w:rsid w:val="3DA36040"/>
    <w:rsid w:val="3DA768E2"/>
    <w:rsid w:val="3DA840EE"/>
    <w:rsid w:val="3DA9265A"/>
    <w:rsid w:val="3DAF509B"/>
    <w:rsid w:val="3DB07948"/>
    <w:rsid w:val="3DB1F0B9"/>
    <w:rsid w:val="3DB4276B"/>
    <w:rsid w:val="3DB42DAD"/>
    <w:rsid w:val="3DB7332E"/>
    <w:rsid w:val="3DBD4357"/>
    <w:rsid w:val="3DBE0780"/>
    <w:rsid w:val="3DC96590"/>
    <w:rsid w:val="3DD1570D"/>
    <w:rsid w:val="3DE25B6C"/>
    <w:rsid w:val="3DE3605F"/>
    <w:rsid w:val="3DE776FD"/>
    <w:rsid w:val="3DE96019"/>
    <w:rsid w:val="3DEE6153"/>
    <w:rsid w:val="3DF49D48"/>
    <w:rsid w:val="3DF4ACB7"/>
    <w:rsid w:val="3DFF606B"/>
    <w:rsid w:val="3E03137C"/>
    <w:rsid w:val="3E1E4AE0"/>
    <w:rsid w:val="3E2823B9"/>
    <w:rsid w:val="3E2A7B0A"/>
    <w:rsid w:val="3E2B12C1"/>
    <w:rsid w:val="3E3143FD"/>
    <w:rsid w:val="3E35213F"/>
    <w:rsid w:val="3E3F6B1A"/>
    <w:rsid w:val="3E4F6CB0"/>
    <w:rsid w:val="3E5844CD"/>
    <w:rsid w:val="3E5F15CC"/>
    <w:rsid w:val="3E8609FA"/>
    <w:rsid w:val="3E8F1850"/>
    <w:rsid w:val="3E931162"/>
    <w:rsid w:val="3E956CE6"/>
    <w:rsid w:val="3EA846BF"/>
    <w:rsid w:val="3EAF1EF2"/>
    <w:rsid w:val="3EB9BB2B"/>
    <w:rsid w:val="3EBF4053"/>
    <w:rsid w:val="3EC15781"/>
    <w:rsid w:val="3ED25BE0"/>
    <w:rsid w:val="3EE94590"/>
    <w:rsid w:val="3EEB27FE"/>
    <w:rsid w:val="3EEC6CA2"/>
    <w:rsid w:val="3EF220E8"/>
    <w:rsid w:val="3EF47DB1"/>
    <w:rsid w:val="3EF773F5"/>
    <w:rsid w:val="3EFD3E96"/>
    <w:rsid w:val="3EFE5D92"/>
    <w:rsid w:val="3EFFA60F"/>
    <w:rsid w:val="3F116709"/>
    <w:rsid w:val="3F134786"/>
    <w:rsid w:val="3F163D1F"/>
    <w:rsid w:val="3F164112"/>
    <w:rsid w:val="3F2F7615"/>
    <w:rsid w:val="3F3E78F5"/>
    <w:rsid w:val="3F3FB362"/>
    <w:rsid w:val="3F453F77"/>
    <w:rsid w:val="3F454604"/>
    <w:rsid w:val="3F47037C"/>
    <w:rsid w:val="3F4D34B9"/>
    <w:rsid w:val="3F4F56C6"/>
    <w:rsid w:val="3F50201D"/>
    <w:rsid w:val="3F557986"/>
    <w:rsid w:val="3F596243"/>
    <w:rsid w:val="3F5F56A6"/>
    <w:rsid w:val="3F620D12"/>
    <w:rsid w:val="3F633F72"/>
    <w:rsid w:val="3F6725C5"/>
    <w:rsid w:val="3F6CA169"/>
    <w:rsid w:val="3F710F55"/>
    <w:rsid w:val="3F724CCD"/>
    <w:rsid w:val="3F79605C"/>
    <w:rsid w:val="3F7D5182"/>
    <w:rsid w:val="3F80388E"/>
    <w:rsid w:val="3F870779"/>
    <w:rsid w:val="3F874C1D"/>
    <w:rsid w:val="3F8763D0"/>
    <w:rsid w:val="3F8A77A1"/>
    <w:rsid w:val="3FA7C587"/>
    <w:rsid w:val="3FAF0FA1"/>
    <w:rsid w:val="3FAF1941"/>
    <w:rsid w:val="3FB47094"/>
    <w:rsid w:val="3FBA6DA0"/>
    <w:rsid w:val="3FBAB1F0"/>
    <w:rsid w:val="3FBD5B55"/>
    <w:rsid w:val="3FCBB4B6"/>
    <w:rsid w:val="3FD59EEA"/>
    <w:rsid w:val="3FD67DED"/>
    <w:rsid w:val="3FDD7148"/>
    <w:rsid w:val="3FE020B5"/>
    <w:rsid w:val="3FE0432D"/>
    <w:rsid w:val="3FE23C01"/>
    <w:rsid w:val="3FEC2CD2"/>
    <w:rsid w:val="3FF3811F"/>
    <w:rsid w:val="3FF4457A"/>
    <w:rsid w:val="3FF52AA7"/>
    <w:rsid w:val="3FF90880"/>
    <w:rsid w:val="3FFE88BD"/>
    <w:rsid w:val="3FFF11AB"/>
    <w:rsid w:val="3FFF1F8C"/>
    <w:rsid w:val="40010992"/>
    <w:rsid w:val="400D63DF"/>
    <w:rsid w:val="4023734A"/>
    <w:rsid w:val="4033136F"/>
    <w:rsid w:val="40347480"/>
    <w:rsid w:val="404A7428"/>
    <w:rsid w:val="4053079A"/>
    <w:rsid w:val="40544E48"/>
    <w:rsid w:val="405E58AD"/>
    <w:rsid w:val="40667005"/>
    <w:rsid w:val="406E1939"/>
    <w:rsid w:val="407975A7"/>
    <w:rsid w:val="407C6600"/>
    <w:rsid w:val="40833636"/>
    <w:rsid w:val="40907B01"/>
    <w:rsid w:val="40925627"/>
    <w:rsid w:val="40953369"/>
    <w:rsid w:val="409969B6"/>
    <w:rsid w:val="40A27190"/>
    <w:rsid w:val="40AC730B"/>
    <w:rsid w:val="40B03CFF"/>
    <w:rsid w:val="40BC26A4"/>
    <w:rsid w:val="40BE01CA"/>
    <w:rsid w:val="40BE641C"/>
    <w:rsid w:val="40D519B8"/>
    <w:rsid w:val="40D914A8"/>
    <w:rsid w:val="40E35E83"/>
    <w:rsid w:val="40E66201"/>
    <w:rsid w:val="40EE65D6"/>
    <w:rsid w:val="40EF2A79"/>
    <w:rsid w:val="40F736DC"/>
    <w:rsid w:val="40F77B80"/>
    <w:rsid w:val="410A78B3"/>
    <w:rsid w:val="410C5707"/>
    <w:rsid w:val="411249BA"/>
    <w:rsid w:val="41173388"/>
    <w:rsid w:val="41240E74"/>
    <w:rsid w:val="41276D73"/>
    <w:rsid w:val="412A1D04"/>
    <w:rsid w:val="41344930"/>
    <w:rsid w:val="413761CE"/>
    <w:rsid w:val="414548A4"/>
    <w:rsid w:val="414D663F"/>
    <w:rsid w:val="415E19AD"/>
    <w:rsid w:val="41735459"/>
    <w:rsid w:val="41774FF8"/>
    <w:rsid w:val="417B430D"/>
    <w:rsid w:val="417D0085"/>
    <w:rsid w:val="417E7959"/>
    <w:rsid w:val="41862428"/>
    <w:rsid w:val="41940AD7"/>
    <w:rsid w:val="41994793"/>
    <w:rsid w:val="419C429B"/>
    <w:rsid w:val="41B119D5"/>
    <w:rsid w:val="41BF1A73"/>
    <w:rsid w:val="41C77552"/>
    <w:rsid w:val="41C9151C"/>
    <w:rsid w:val="41CD3612"/>
    <w:rsid w:val="41D43A1D"/>
    <w:rsid w:val="41D8023A"/>
    <w:rsid w:val="41F1637D"/>
    <w:rsid w:val="41FE39DF"/>
    <w:rsid w:val="41FF0A9A"/>
    <w:rsid w:val="4216641E"/>
    <w:rsid w:val="421F2EEA"/>
    <w:rsid w:val="42254279"/>
    <w:rsid w:val="422E4466"/>
    <w:rsid w:val="42333392"/>
    <w:rsid w:val="42450503"/>
    <w:rsid w:val="424566C9"/>
    <w:rsid w:val="424F27D8"/>
    <w:rsid w:val="42517F94"/>
    <w:rsid w:val="42573FA6"/>
    <w:rsid w:val="42576B28"/>
    <w:rsid w:val="425A03C6"/>
    <w:rsid w:val="425F6E1E"/>
    <w:rsid w:val="42647E40"/>
    <w:rsid w:val="426E64AC"/>
    <w:rsid w:val="426F528B"/>
    <w:rsid w:val="427B469B"/>
    <w:rsid w:val="4283791D"/>
    <w:rsid w:val="42845F35"/>
    <w:rsid w:val="428E1E1E"/>
    <w:rsid w:val="42924546"/>
    <w:rsid w:val="42957651"/>
    <w:rsid w:val="42976F25"/>
    <w:rsid w:val="42980EEF"/>
    <w:rsid w:val="429A07C3"/>
    <w:rsid w:val="429A33FF"/>
    <w:rsid w:val="429B0E50"/>
    <w:rsid w:val="42A15FF5"/>
    <w:rsid w:val="42AB6E74"/>
    <w:rsid w:val="42B20202"/>
    <w:rsid w:val="42BF022A"/>
    <w:rsid w:val="42C01FC8"/>
    <w:rsid w:val="42C43A92"/>
    <w:rsid w:val="42C70E89"/>
    <w:rsid w:val="42E83C24"/>
    <w:rsid w:val="42EB7EEB"/>
    <w:rsid w:val="42EE5E4D"/>
    <w:rsid w:val="42F37CC8"/>
    <w:rsid w:val="42F470EE"/>
    <w:rsid w:val="43002288"/>
    <w:rsid w:val="43044F3F"/>
    <w:rsid w:val="43065E58"/>
    <w:rsid w:val="430B16C1"/>
    <w:rsid w:val="430D71E7"/>
    <w:rsid w:val="431A1904"/>
    <w:rsid w:val="431D7428"/>
    <w:rsid w:val="4320516C"/>
    <w:rsid w:val="4328605B"/>
    <w:rsid w:val="432F53AF"/>
    <w:rsid w:val="43352A6F"/>
    <w:rsid w:val="4338BA1B"/>
    <w:rsid w:val="433A423B"/>
    <w:rsid w:val="434D1CD9"/>
    <w:rsid w:val="43522C77"/>
    <w:rsid w:val="43550707"/>
    <w:rsid w:val="435C016E"/>
    <w:rsid w:val="436112E1"/>
    <w:rsid w:val="436D4129"/>
    <w:rsid w:val="436F7EA2"/>
    <w:rsid w:val="43721740"/>
    <w:rsid w:val="43790741"/>
    <w:rsid w:val="437B7E90"/>
    <w:rsid w:val="437C437B"/>
    <w:rsid w:val="437E00E5"/>
    <w:rsid w:val="438020AF"/>
    <w:rsid w:val="438601E4"/>
    <w:rsid w:val="438C0A54"/>
    <w:rsid w:val="438D20D6"/>
    <w:rsid w:val="43925371"/>
    <w:rsid w:val="43A55671"/>
    <w:rsid w:val="43AF64F0"/>
    <w:rsid w:val="43BC0209"/>
    <w:rsid w:val="43BE3CB3"/>
    <w:rsid w:val="43C71A8C"/>
    <w:rsid w:val="43CC2FD3"/>
    <w:rsid w:val="43CD162E"/>
    <w:rsid w:val="43D116CA"/>
    <w:rsid w:val="43DB1093"/>
    <w:rsid w:val="43DB5325"/>
    <w:rsid w:val="43E37926"/>
    <w:rsid w:val="43F01361"/>
    <w:rsid w:val="43F66893"/>
    <w:rsid w:val="44024872"/>
    <w:rsid w:val="440920A4"/>
    <w:rsid w:val="440A130C"/>
    <w:rsid w:val="440A35B0"/>
    <w:rsid w:val="44134942"/>
    <w:rsid w:val="44226CC2"/>
    <w:rsid w:val="44250560"/>
    <w:rsid w:val="44330ECF"/>
    <w:rsid w:val="44337121"/>
    <w:rsid w:val="44380293"/>
    <w:rsid w:val="443864E5"/>
    <w:rsid w:val="443F1622"/>
    <w:rsid w:val="4440539A"/>
    <w:rsid w:val="44450C02"/>
    <w:rsid w:val="444D31C4"/>
    <w:rsid w:val="445709AF"/>
    <w:rsid w:val="4458753F"/>
    <w:rsid w:val="445E4AA4"/>
    <w:rsid w:val="446560E1"/>
    <w:rsid w:val="446606CA"/>
    <w:rsid w:val="447C21A2"/>
    <w:rsid w:val="44852753"/>
    <w:rsid w:val="448636F5"/>
    <w:rsid w:val="44913E48"/>
    <w:rsid w:val="449E0A6D"/>
    <w:rsid w:val="44A27E03"/>
    <w:rsid w:val="44A57286"/>
    <w:rsid w:val="44A928B5"/>
    <w:rsid w:val="44AB4F09"/>
    <w:rsid w:val="44B96619"/>
    <w:rsid w:val="44BB13F3"/>
    <w:rsid w:val="44C350BE"/>
    <w:rsid w:val="44CD4E80"/>
    <w:rsid w:val="44F27D15"/>
    <w:rsid w:val="44FA379B"/>
    <w:rsid w:val="4504286C"/>
    <w:rsid w:val="45124F88"/>
    <w:rsid w:val="451707F1"/>
    <w:rsid w:val="451E2976"/>
    <w:rsid w:val="451E56DB"/>
    <w:rsid w:val="452059D0"/>
    <w:rsid w:val="452F2257"/>
    <w:rsid w:val="453B6B56"/>
    <w:rsid w:val="4550785F"/>
    <w:rsid w:val="455E3D2A"/>
    <w:rsid w:val="45744DEB"/>
    <w:rsid w:val="458B0897"/>
    <w:rsid w:val="459935B0"/>
    <w:rsid w:val="459C7A87"/>
    <w:rsid w:val="45A02594"/>
    <w:rsid w:val="45A04342"/>
    <w:rsid w:val="45A32BCF"/>
    <w:rsid w:val="45A953BB"/>
    <w:rsid w:val="45B705EA"/>
    <w:rsid w:val="45BFAC08"/>
    <w:rsid w:val="45C02C36"/>
    <w:rsid w:val="45C95B6C"/>
    <w:rsid w:val="45CC5137"/>
    <w:rsid w:val="45CE7F2C"/>
    <w:rsid w:val="45D109A0"/>
    <w:rsid w:val="45D24718"/>
    <w:rsid w:val="45D87F80"/>
    <w:rsid w:val="45DBE8F0"/>
    <w:rsid w:val="45DD7344"/>
    <w:rsid w:val="45DF66E5"/>
    <w:rsid w:val="45E32481"/>
    <w:rsid w:val="45E8203F"/>
    <w:rsid w:val="45E85CE9"/>
    <w:rsid w:val="45E87A97"/>
    <w:rsid w:val="45EAFC9B"/>
    <w:rsid w:val="45EF1847"/>
    <w:rsid w:val="45F12DF0"/>
    <w:rsid w:val="45FF375F"/>
    <w:rsid w:val="460F17FB"/>
    <w:rsid w:val="46101AAB"/>
    <w:rsid w:val="462C207A"/>
    <w:rsid w:val="464F5D68"/>
    <w:rsid w:val="46503FBA"/>
    <w:rsid w:val="465D66D7"/>
    <w:rsid w:val="46622EA1"/>
    <w:rsid w:val="4665733A"/>
    <w:rsid w:val="46737CA9"/>
    <w:rsid w:val="46741270"/>
    <w:rsid w:val="4674757D"/>
    <w:rsid w:val="467852BF"/>
    <w:rsid w:val="467F03FC"/>
    <w:rsid w:val="468269BA"/>
    <w:rsid w:val="46886011"/>
    <w:rsid w:val="46A225E4"/>
    <w:rsid w:val="46A674BD"/>
    <w:rsid w:val="46AA659A"/>
    <w:rsid w:val="46AF6585"/>
    <w:rsid w:val="46B02CAB"/>
    <w:rsid w:val="46B34DF3"/>
    <w:rsid w:val="46C6602A"/>
    <w:rsid w:val="46C73B51"/>
    <w:rsid w:val="46C91677"/>
    <w:rsid w:val="46CE0C7A"/>
    <w:rsid w:val="46F25071"/>
    <w:rsid w:val="471274C2"/>
    <w:rsid w:val="47144810"/>
    <w:rsid w:val="47200FB2"/>
    <w:rsid w:val="472A11E5"/>
    <w:rsid w:val="472E3BD0"/>
    <w:rsid w:val="473D3E13"/>
    <w:rsid w:val="47490A0A"/>
    <w:rsid w:val="47526D47"/>
    <w:rsid w:val="47590C4D"/>
    <w:rsid w:val="475951FA"/>
    <w:rsid w:val="475D0700"/>
    <w:rsid w:val="476D0347"/>
    <w:rsid w:val="476EEEEA"/>
    <w:rsid w:val="4770243A"/>
    <w:rsid w:val="47727F60"/>
    <w:rsid w:val="478A7058"/>
    <w:rsid w:val="47962FFF"/>
    <w:rsid w:val="47980FBD"/>
    <w:rsid w:val="47A81BD4"/>
    <w:rsid w:val="47A8312D"/>
    <w:rsid w:val="47BA4D87"/>
    <w:rsid w:val="47BFB204"/>
    <w:rsid w:val="47CD163B"/>
    <w:rsid w:val="47DC523F"/>
    <w:rsid w:val="47DDB833"/>
    <w:rsid w:val="47E56984"/>
    <w:rsid w:val="47E726FC"/>
    <w:rsid w:val="47EA7AF7"/>
    <w:rsid w:val="47EF9E07"/>
    <w:rsid w:val="47F268DC"/>
    <w:rsid w:val="47F31DD4"/>
    <w:rsid w:val="48044497"/>
    <w:rsid w:val="480E5EDB"/>
    <w:rsid w:val="480F755D"/>
    <w:rsid w:val="482515E9"/>
    <w:rsid w:val="48284AC3"/>
    <w:rsid w:val="48296208"/>
    <w:rsid w:val="482E7CFA"/>
    <w:rsid w:val="483B2A48"/>
    <w:rsid w:val="483B2ADC"/>
    <w:rsid w:val="48401E0D"/>
    <w:rsid w:val="48425B85"/>
    <w:rsid w:val="486C49B0"/>
    <w:rsid w:val="48734F6C"/>
    <w:rsid w:val="4873598C"/>
    <w:rsid w:val="48763A80"/>
    <w:rsid w:val="487836AE"/>
    <w:rsid w:val="487C162F"/>
    <w:rsid w:val="487F2935"/>
    <w:rsid w:val="487F6800"/>
    <w:rsid w:val="48870389"/>
    <w:rsid w:val="489108BA"/>
    <w:rsid w:val="489A7466"/>
    <w:rsid w:val="489B7043"/>
    <w:rsid w:val="48A05084"/>
    <w:rsid w:val="48AB1789"/>
    <w:rsid w:val="48B41031"/>
    <w:rsid w:val="48C90054"/>
    <w:rsid w:val="48CC18F2"/>
    <w:rsid w:val="48CE566A"/>
    <w:rsid w:val="48DB1B35"/>
    <w:rsid w:val="48EA327A"/>
    <w:rsid w:val="48F36E7F"/>
    <w:rsid w:val="48F61114"/>
    <w:rsid w:val="48F838E5"/>
    <w:rsid w:val="4901630B"/>
    <w:rsid w:val="49064E04"/>
    <w:rsid w:val="490C1CEF"/>
    <w:rsid w:val="491C4628"/>
    <w:rsid w:val="49221512"/>
    <w:rsid w:val="492E2385"/>
    <w:rsid w:val="49396F88"/>
    <w:rsid w:val="493A2D00"/>
    <w:rsid w:val="4942090B"/>
    <w:rsid w:val="4948541D"/>
    <w:rsid w:val="495950DE"/>
    <w:rsid w:val="495F2766"/>
    <w:rsid w:val="497C50C6"/>
    <w:rsid w:val="497E78B1"/>
    <w:rsid w:val="498126DD"/>
    <w:rsid w:val="498174A7"/>
    <w:rsid w:val="49851138"/>
    <w:rsid w:val="49891591"/>
    <w:rsid w:val="498E7C32"/>
    <w:rsid w:val="49915BDB"/>
    <w:rsid w:val="49926698"/>
    <w:rsid w:val="49A40179"/>
    <w:rsid w:val="49AE3EF5"/>
    <w:rsid w:val="49B74350"/>
    <w:rsid w:val="49BF4275"/>
    <w:rsid w:val="49CD147E"/>
    <w:rsid w:val="49CF51F6"/>
    <w:rsid w:val="49D20DD5"/>
    <w:rsid w:val="49D3A5EB"/>
    <w:rsid w:val="49D56585"/>
    <w:rsid w:val="49D7BA7C"/>
    <w:rsid w:val="49D92519"/>
    <w:rsid w:val="49DE368B"/>
    <w:rsid w:val="49DF11B1"/>
    <w:rsid w:val="49E64E4D"/>
    <w:rsid w:val="49E64F8F"/>
    <w:rsid w:val="49E8450A"/>
    <w:rsid w:val="49ED38CE"/>
    <w:rsid w:val="49F96717"/>
    <w:rsid w:val="4A0D3F70"/>
    <w:rsid w:val="4A1043C2"/>
    <w:rsid w:val="4A104F60"/>
    <w:rsid w:val="4A1808B4"/>
    <w:rsid w:val="4A1E617D"/>
    <w:rsid w:val="4A2A68D0"/>
    <w:rsid w:val="4A2B43F6"/>
    <w:rsid w:val="4A2C4B02"/>
    <w:rsid w:val="4A326F8B"/>
    <w:rsid w:val="4A3E412A"/>
    <w:rsid w:val="4A3E7111"/>
    <w:rsid w:val="4A474538"/>
    <w:rsid w:val="4A4F27DB"/>
    <w:rsid w:val="4A604B90"/>
    <w:rsid w:val="4A630034"/>
    <w:rsid w:val="4A6D70FA"/>
    <w:rsid w:val="4A6F628F"/>
    <w:rsid w:val="4A7C022B"/>
    <w:rsid w:val="4A8835F7"/>
    <w:rsid w:val="4A8F7A4B"/>
    <w:rsid w:val="4AA30431"/>
    <w:rsid w:val="4AA76716"/>
    <w:rsid w:val="4AAA32C1"/>
    <w:rsid w:val="4ABE526B"/>
    <w:rsid w:val="4AC7411F"/>
    <w:rsid w:val="4ACE4313"/>
    <w:rsid w:val="4AF64C8A"/>
    <w:rsid w:val="4AFA2747"/>
    <w:rsid w:val="4AFF7B18"/>
    <w:rsid w:val="4B1D6435"/>
    <w:rsid w:val="4B3B3748"/>
    <w:rsid w:val="4B403916"/>
    <w:rsid w:val="4B5F720E"/>
    <w:rsid w:val="4B68350E"/>
    <w:rsid w:val="4B7B7C81"/>
    <w:rsid w:val="4B7C7600"/>
    <w:rsid w:val="4B9366F7"/>
    <w:rsid w:val="4B9E7BC5"/>
    <w:rsid w:val="4BBE5256"/>
    <w:rsid w:val="4BBF74EC"/>
    <w:rsid w:val="4BCD1C09"/>
    <w:rsid w:val="4BD50ABE"/>
    <w:rsid w:val="4BDD0600"/>
    <w:rsid w:val="4BE40D01"/>
    <w:rsid w:val="4BE920CC"/>
    <w:rsid w:val="4BEB208F"/>
    <w:rsid w:val="4BEF1B80"/>
    <w:rsid w:val="4BEF2726"/>
    <w:rsid w:val="4BF278C2"/>
    <w:rsid w:val="4BFE0E47"/>
    <w:rsid w:val="4C00514D"/>
    <w:rsid w:val="4C012BBE"/>
    <w:rsid w:val="4C022F93"/>
    <w:rsid w:val="4C0312C1"/>
    <w:rsid w:val="4C080E93"/>
    <w:rsid w:val="4C0A4C0B"/>
    <w:rsid w:val="4C0C0983"/>
    <w:rsid w:val="4C0D3812"/>
    <w:rsid w:val="4C285091"/>
    <w:rsid w:val="4C290139"/>
    <w:rsid w:val="4C4821E8"/>
    <w:rsid w:val="4C523EBC"/>
    <w:rsid w:val="4C565C53"/>
    <w:rsid w:val="4C6F248A"/>
    <w:rsid w:val="4C787DC7"/>
    <w:rsid w:val="4C8524E4"/>
    <w:rsid w:val="4C885B30"/>
    <w:rsid w:val="4C997B78"/>
    <w:rsid w:val="4CA0731E"/>
    <w:rsid w:val="4CA56C6A"/>
    <w:rsid w:val="4CAE1A3B"/>
    <w:rsid w:val="4CC36801"/>
    <w:rsid w:val="4CC76658"/>
    <w:rsid w:val="4CC805CD"/>
    <w:rsid w:val="4CCB7085"/>
    <w:rsid w:val="4CCF19B1"/>
    <w:rsid w:val="4CCFCF0F"/>
    <w:rsid w:val="4CE000AE"/>
    <w:rsid w:val="4CE94821"/>
    <w:rsid w:val="4CF30429"/>
    <w:rsid w:val="4CF44D53"/>
    <w:rsid w:val="4CF60CEC"/>
    <w:rsid w:val="4CF76B40"/>
    <w:rsid w:val="4CFA6A2E"/>
    <w:rsid w:val="4D07114B"/>
    <w:rsid w:val="4D090A1F"/>
    <w:rsid w:val="4D1F6494"/>
    <w:rsid w:val="4D227280"/>
    <w:rsid w:val="4D267823"/>
    <w:rsid w:val="4D2910C1"/>
    <w:rsid w:val="4D3857A8"/>
    <w:rsid w:val="4D4B10FA"/>
    <w:rsid w:val="4D4C735D"/>
    <w:rsid w:val="4D553C64"/>
    <w:rsid w:val="4D5F2D35"/>
    <w:rsid w:val="4D697710"/>
    <w:rsid w:val="4D6C7200"/>
    <w:rsid w:val="4D704F42"/>
    <w:rsid w:val="4D754306"/>
    <w:rsid w:val="4D86480A"/>
    <w:rsid w:val="4D8713A7"/>
    <w:rsid w:val="4D926C66"/>
    <w:rsid w:val="4DA2128F"/>
    <w:rsid w:val="4DA42E3E"/>
    <w:rsid w:val="4DAB3538"/>
    <w:rsid w:val="4DAF27EC"/>
    <w:rsid w:val="4DB12E65"/>
    <w:rsid w:val="4DB34E2F"/>
    <w:rsid w:val="4DBB0061"/>
    <w:rsid w:val="4DC0326F"/>
    <w:rsid w:val="4DC05945"/>
    <w:rsid w:val="4DC3501D"/>
    <w:rsid w:val="4DC97ECE"/>
    <w:rsid w:val="4DCB69C2"/>
    <w:rsid w:val="4DD7C1D0"/>
    <w:rsid w:val="4DDE04AB"/>
    <w:rsid w:val="4DDF5C24"/>
    <w:rsid w:val="4DE44FE8"/>
    <w:rsid w:val="4DED6593"/>
    <w:rsid w:val="4DF38C2D"/>
    <w:rsid w:val="4E047438"/>
    <w:rsid w:val="4E0D199A"/>
    <w:rsid w:val="4E165AE9"/>
    <w:rsid w:val="4E1A18A8"/>
    <w:rsid w:val="4E241889"/>
    <w:rsid w:val="4E25233A"/>
    <w:rsid w:val="4E255E4C"/>
    <w:rsid w:val="4E29218D"/>
    <w:rsid w:val="4E404914"/>
    <w:rsid w:val="4E457958"/>
    <w:rsid w:val="4E487279"/>
    <w:rsid w:val="4E524648"/>
    <w:rsid w:val="4E54216E"/>
    <w:rsid w:val="4E7074C0"/>
    <w:rsid w:val="4E7332BF"/>
    <w:rsid w:val="4E760336"/>
    <w:rsid w:val="4E790239"/>
    <w:rsid w:val="4E7E1DE6"/>
    <w:rsid w:val="4E810A89"/>
    <w:rsid w:val="4E830CA5"/>
    <w:rsid w:val="4E861663"/>
    <w:rsid w:val="4E8B2268"/>
    <w:rsid w:val="4E9609D8"/>
    <w:rsid w:val="4E9E163B"/>
    <w:rsid w:val="4E9E788D"/>
    <w:rsid w:val="4EA053B3"/>
    <w:rsid w:val="4EA40C60"/>
    <w:rsid w:val="4EAD7AD0"/>
    <w:rsid w:val="4EB22DD9"/>
    <w:rsid w:val="4EBE3A8B"/>
    <w:rsid w:val="4ED33DBE"/>
    <w:rsid w:val="4EDD6607"/>
    <w:rsid w:val="4EE92500"/>
    <w:rsid w:val="4EEA4880"/>
    <w:rsid w:val="4EF03291"/>
    <w:rsid w:val="4EF120B3"/>
    <w:rsid w:val="4EF86F9D"/>
    <w:rsid w:val="4EFA0CEB"/>
    <w:rsid w:val="4EFC1C84"/>
    <w:rsid w:val="4F01352B"/>
    <w:rsid w:val="4F0F2539"/>
    <w:rsid w:val="4F111E0D"/>
    <w:rsid w:val="4F1162B1"/>
    <w:rsid w:val="4F1ED4E2"/>
    <w:rsid w:val="4F223D2D"/>
    <w:rsid w:val="4F244236"/>
    <w:rsid w:val="4F293E28"/>
    <w:rsid w:val="4F2A1CF5"/>
    <w:rsid w:val="4F3E7FC5"/>
    <w:rsid w:val="4F416C5E"/>
    <w:rsid w:val="4F424ED7"/>
    <w:rsid w:val="4F5B577E"/>
    <w:rsid w:val="4F5F7FF3"/>
    <w:rsid w:val="4F610FE6"/>
    <w:rsid w:val="4F660CD1"/>
    <w:rsid w:val="4F691C49"/>
    <w:rsid w:val="4F6D065C"/>
    <w:rsid w:val="4F6E2CA7"/>
    <w:rsid w:val="4F6F4D85"/>
    <w:rsid w:val="4F7C1882"/>
    <w:rsid w:val="4F7D385C"/>
    <w:rsid w:val="4F7F59DF"/>
    <w:rsid w:val="4F7FE695"/>
    <w:rsid w:val="4F822D0B"/>
    <w:rsid w:val="4F8B6063"/>
    <w:rsid w:val="4F8E4CA8"/>
    <w:rsid w:val="4FAA7546"/>
    <w:rsid w:val="4FB05ACA"/>
    <w:rsid w:val="4FB102E7"/>
    <w:rsid w:val="4FB64280"/>
    <w:rsid w:val="4FB7C9AC"/>
    <w:rsid w:val="4FBB7FCB"/>
    <w:rsid w:val="4FBFCB4D"/>
    <w:rsid w:val="4FC43323"/>
    <w:rsid w:val="4FCB19BD"/>
    <w:rsid w:val="4FD9013F"/>
    <w:rsid w:val="4FDA48F5"/>
    <w:rsid w:val="4FE35B43"/>
    <w:rsid w:val="4FE439C5"/>
    <w:rsid w:val="4FE94B38"/>
    <w:rsid w:val="4FEB4D54"/>
    <w:rsid w:val="4FEB6592"/>
    <w:rsid w:val="4FEE03A0"/>
    <w:rsid w:val="4FF26FAA"/>
    <w:rsid w:val="4FF39881"/>
    <w:rsid w:val="4FF74F60"/>
    <w:rsid w:val="4FF77255"/>
    <w:rsid w:val="4FF7B9AE"/>
    <w:rsid w:val="4FF86249"/>
    <w:rsid w:val="4FFA4C9C"/>
    <w:rsid w:val="4FFF48B8"/>
    <w:rsid w:val="4FFF6109"/>
    <w:rsid w:val="500931EC"/>
    <w:rsid w:val="50184E3E"/>
    <w:rsid w:val="5023629C"/>
    <w:rsid w:val="50244933"/>
    <w:rsid w:val="5027460C"/>
    <w:rsid w:val="502C20D5"/>
    <w:rsid w:val="502F4C40"/>
    <w:rsid w:val="503052E1"/>
    <w:rsid w:val="503D4D69"/>
    <w:rsid w:val="50403615"/>
    <w:rsid w:val="50487AB0"/>
    <w:rsid w:val="50506965"/>
    <w:rsid w:val="5051105B"/>
    <w:rsid w:val="50591CAB"/>
    <w:rsid w:val="505E1082"/>
    <w:rsid w:val="50624832"/>
    <w:rsid w:val="50697A27"/>
    <w:rsid w:val="506B19F1"/>
    <w:rsid w:val="506D5769"/>
    <w:rsid w:val="507C2ABF"/>
    <w:rsid w:val="508F56DF"/>
    <w:rsid w:val="509251CF"/>
    <w:rsid w:val="50964618"/>
    <w:rsid w:val="509C604E"/>
    <w:rsid w:val="50A03DE6"/>
    <w:rsid w:val="50AA42C7"/>
    <w:rsid w:val="50B71642"/>
    <w:rsid w:val="50C11611"/>
    <w:rsid w:val="50C2570B"/>
    <w:rsid w:val="50C30B7A"/>
    <w:rsid w:val="50C86E43"/>
    <w:rsid w:val="50D00E26"/>
    <w:rsid w:val="50D12BA6"/>
    <w:rsid w:val="50DE57D0"/>
    <w:rsid w:val="50E13113"/>
    <w:rsid w:val="50E91F61"/>
    <w:rsid w:val="50EB7D9F"/>
    <w:rsid w:val="50F70D9C"/>
    <w:rsid w:val="50F87728"/>
    <w:rsid w:val="50FA2193"/>
    <w:rsid w:val="50FC72E6"/>
    <w:rsid w:val="5107796B"/>
    <w:rsid w:val="510C7598"/>
    <w:rsid w:val="510F6AD8"/>
    <w:rsid w:val="51145BE4"/>
    <w:rsid w:val="51167BAE"/>
    <w:rsid w:val="51260CB2"/>
    <w:rsid w:val="512A6795"/>
    <w:rsid w:val="51303983"/>
    <w:rsid w:val="5137598C"/>
    <w:rsid w:val="51385D77"/>
    <w:rsid w:val="513C333A"/>
    <w:rsid w:val="51422751"/>
    <w:rsid w:val="5144471C"/>
    <w:rsid w:val="5147420C"/>
    <w:rsid w:val="51475FBA"/>
    <w:rsid w:val="514E559A"/>
    <w:rsid w:val="514F30C0"/>
    <w:rsid w:val="516B30C1"/>
    <w:rsid w:val="517A4EB9"/>
    <w:rsid w:val="517D58F9"/>
    <w:rsid w:val="51894824"/>
    <w:rsid w:val="5192FC29"/>
    <w:rsid w:val="51B25CFA"/>
    <w:rsid w:val="51B64D1E"/>
    <w:rsid w:val="51BF3DA2"/>
    <w:rsid w:val="51C21AE4"/>
    <w:rsid w:val="51C52257"/>
    <w:rsid w:val="51CC4711"/>
    <w:rsid w:val="51CE2237"/>
    <w:rsid w:val="51D14D3A"/>
    <w:rsid w:val="51E03C48"/>
    <w:rsid w:val="51E23F34"/>
    <w:rsid w:val="51EC090F"/>
    <w:rsid w:val="51F577C4"/>
    <w:rsid w:val="51FD21DB"/>
    <w:rsid w:val="52081BED"/>
    <w:rsid w:val="520D7203"/>
    <w:rsid w:val="52163F05"/>
    <w:rsid w:val="5217598C"/>
    <w:rsid w:val="52232583"/>
    <w:rsid w:val="522462FB"/>
    <w:rsid w:val="522E0F28"/>
    <w:rsid w:val="52306A4E"/>
    <w:rsid w:val="52344112"/>
    <w:rsid w:val="52391DA6"/>
    <w:rsid w:val="523A5B1F"/>
    <w:rsid w:val="524B0C10"/>
    <w:rsid w:val="524B7D2C"/>
    <w:rsid w:val="524D7600"/>
    <w:rsid w:val="526F2713"/>
    <w:rsid w:val="527252B8"/>
    <w:rsid w:val="5282173D"/>
    <w:rsid w:val="528374C6"/>
    <w:rsid w:val="52880638"/>
    <w:rsid w:val="528F2225"/>
    <w:rsid w:val="529C4B5D"/>
    <w:rsid w:val="52AF0D39"/>
    <w:rsid w:val="52AF2069"/>
    <w:rsid w:val="52B15DE1"/>
    <w:rsid w:val="52B70F1D"/>
    <w:rsid w:val="52B9111D"/>
    <w:rsid w:val="52C670DA"/>
    <w:rsid w:val="52CA0D07"/>
    <w:rsid w:val="52E14794"/>
    <w:rsid w:val="52EC506B"/>
    <w:rsid w:val="52F21F55"/>
    <w:rsid w:val="52F72537"/>
    <w:rsid w:val="53043F9B"/>
    <w:rsid w:val="530603A4"/>
    <w:rsid w:val="531445C2"/>
    <w:rsid w:val="53275E79"/>
    <w:rsid w:val="53277E51"/>
    <w:rsid w:val="532C49EC"/>
    <w:rsid w:val="5331712A"/>
    <w:rsid w:val="533E38A0"/>
    <w:rsid w:val="53424C8B"/>
    <w:rsid w:val="534A3B3F"/>
    <w:rsid w:val="53513120"/>
    <w:rsid w:val="53545FFA"/>
    <w:rsid w:val="5358625C"/>
    <w:rsid w:val="536E2674"/>
    <w:rsid w:val="53862290"/>
    <w:rsid w:val="53933738"/>
    <w:rsid w:val="53977621"/>
    <w:rsid w:val="53980D4F"/>
    <w:rsid w:val="53A40D39"/>
    <w:rsid w:val="53AB5AC3"/>
    <w:rsid w:val="53AB6CD4"/>
    <w:rsid w:val="53AD054E"/>
    <w:rsid w:val="53AF7E46"/>
    <w:rsid w:val="53C27B7A"/>
    <w:rsid w:val="53CE29C2"/>
    <w:rsid w:val="53E162A0"/>
    <w:rsid w:val="53E75832"/>
    <w:rsid w:val="53ED01C1"/>
    <w:rsid w:val="53FF492A"/>
    <w:rsid w:val="54111E29"/>
    <w:rsid w:val="5415239F"/>
    <w:rsid w:val="542645AC"/>
    <w:rsid w:val="542919A7"/>
    <w:rsid w:val="54295E4B"/>
    <w:rsid w:val="54300864"/>
    <w:rsid w:val="54332825"/>
    <w:rsid w:val="54336868"/>
    <w:rsid w:val="543547EF"/>
    <w:rsid w:val="543C5B7E"/>
    <w:rsid w:val="54422A68"/>
    <w:rsid w:val="54484523"/>
    <w:rsid w:val="544B5FDC"/>
    <w:rsid w:val="5454289A"/>
    <w:rsid w:val="545F361A"/>
    <w:rsid w:val="54680721"/>
    <w:rsid w:val="54705828"/>
    <w:rsid w:val="54745423"/>
    <w:rsid w:val="54751090"/>
    <w:rsid w:val="547B08DD"/>
    <w:rsid w:val="547C1740"/>
    <w:rsid w:val="547F6C6B"/>
    <w:rsid w:val="5480697A"/>
    <w:rsid w:val="54887C3D"/>
    <w:rsid w:val="548A7EC1"/>
    <w:rsid w:val="54931516"/>
    <w:rsid w:val="5495703C"/>
    <w:rsid w:val="54971006"/>
    <w:rsid w:val="54992FD0"/>
    <w:rsid w:val="54A159E1"/>
    <w:rsid w:val="54A86D6F"/>
    <w:rsid w:val="54AD25D8"/>
    <w:rsid w:val="54B24092"/>
    <w:rsid w:val="54B5161B"/>
    <w:rsid w:val="54BF40B9"/>
    <w:rsid w:val="54C23263"/>
    <w:rsid w:val="54C65448"/>
    <w:rsid w:val="54CD4054"/>
    <w:rsid w:val="54D67D81"/>
    <w:rsid w:val="54E052F5"/>
    <w:rsid w:val="54EF17D6"/>
    <w:rsid w:val="54F46459"/>
    <w:rsid w:val="54F7F30A"/>
    <w:rsid w:val="54FB77E7"/>
    <w:rsid w:val="55006BAB"/>
    <w:rsid w:val="55050666"/>
    <w:rsid w:val="55093E11"/>
    <w:rsid w:val="550E7E04"/>
    <w:rsid w:val="5516017D"/>
    <w:rsid w:val="55164621"/>
    <w:rsid w:val="55172147"/>
    <w:rsid w:val="55173EF5"/>
    <w:rsid w:val="5523023E"/>
    <w:rsid w:val="5523289A"/>
    <w:rsid w:val="55320D2F"/>
    <w:rsid w:val="55322ADD"/>
    <w:rsid w:val="553D1BAE"/>
    <w:rsid w:val="55463C75"/>
    <w:rsid w:val="55537708"/>
    <w:rsid w:val="55545149"/>
    <w:rsid w:val="555E38D2"/>
    <w:rsid w:val="55621614"/>
    <w:rsid w:val="55624EB7"/>
    <w:rsid w:val="55713605"/>
    <w:rsid w:val="5572737D"/>
    <w:rsid w:val="557477C3"/>
    <w:rsid w:val="55825812"/>
    <w:rsid w:val="558F6181"/>
    <w:rsid w:val="558F7E43"/>
    <w:rsid w:val="559769C7"/>
    <w:rsid w:val="559B68D4"/>
    <w:rsid w:val="55A30152"/>
    <w:rsid w:val="55A74EF6"/>
    <w:rsid w:val="55AC3F2D"/>
    <w:rsid w:val="55AE32B2"/>
    <w:rsid w:val="55B6370E"/>
    <w:rsid w:val="55B84EAE"/>
    <w:rsid w:val="55BA7D23"/>
    <w:rsid w:val="55BC4E8F"/>
    <w:rsid w:val="55C53951"/>
    <w:rsid w:val="55CD7361"/>
    <w:rsid w:val="55DF7199"/>
    <w:rsid w:val="55E54A78"/>
    <w:rsid w:val="55E95892"/>
    <w:rsid w:val="55EB160A"/>
    <w:rsid w:val="55FE5EF9"/>
    <w:rsid w:val="55FF3307"/>
    <w:rsid w:val="56024BA5"/>
    <w:rsid w:val="560254E1"/>
    <w:rsid w:val="56064695"/>
    <w:rsid w:val="56113125"/>
    <w:rsid w:val="56191621"/>
    <w:rsid w:val="561B7A15"/>
    <w:rsid w:val="561F12B3"/>
    <w:rsid w:val="562B7C58"/>
    <w:rsid w:val="56327239"/>
    <w:rsid w:val="56350AD7"/>
    <w:rsid w:val="563F643D"/>
    <w:rsid w:val="56547A47"/>
    <w:rsid w:val="56567336"/>
    <w:rsid w:val="56594B70"/>
    <w:rsid w:val="567649A8"/>
    <w:rsid w:val="56861332"/>
    <w:rsid w:val="56A417B8"/>
    <w:rsid w:val="56AA6193"/>
    <w:rsid w:val="56AF67E1"/>
    <w:rsid w:val="56AF8847"/>
    <w:rsid w:val="56B70AAF"/>
    <w:rsid w:val="56B802D4"/>
    <w:rsid w:val="56B90265"/>
    <w:rsid w:val="56BF4DDF"/>
    <w:rsid w:val="56C67981"/>
    <w:rsid w:val="56C854A7"/>
    <w:rsid w:val="56CA56C3"/>
    <w:rsid w:val="56D025AE"/>
    <w:rsid w:val="56D4209E"/>
    <w:rsid w:val="56DC71A4"/>
    <w:rsid w:val="56E12A0D"/>
    <w:rsid w:val="56E60023"/>
    <w:rsid w:val="56FB3ACE"/>
    <w:rsid w:val="572842A9"/>
    <w:rsid w:val="572B1EDA"/>
    <w:rsid w:val="572F455A"/>
    <w:rsid w:val="57342B3C"/>
    <w:rsid w:val="57376AD1"/>
    <w:rsid w:val="573A3ECB"/>
    <w:rsid w:val="57432436"/>
    <w:rsid w:val="5748483A"/>
    <w:rsid w:val="574C257C"/>
    <w:rsid w:val="5753099F"/>
    <w:rsid w:val="57560D05"/>
    <w:rsid w:val="575651A9"/>
    <w:rsid w:val="576B2927"/>
    <w:rsid w:val="57792C45"/>
    <w:rsid w:val="577A7043"/>
    <w:rsid w:val="577E46FF"/>
    <w:rsid w:val="57877110"/>
    <w:rsid w:val="578A062C"/>
    <w:rsid w:val="57927A27"/>
    <w:rsid w:val="57A26F0D"/>
    <w:rsid w:val="57A37CC2"/>
    <w:rsid w:val="57B95737"/>
    <w:rsid w:val="57BE1C07"/>
    <w:rsid w:val="57BE4F19"/>
    <w:rsid w:val="57CA1416"/>
    <w:rsid w:val="57CF2865"/>
    <w:rsid w:val="57D936E4"/>
    <w:rsid w:val="57EA769F"/>
    <w:rsid w:val="57EFE50F"/>
    <w:rsid w:val="57F17C15"/>
    <w:rsid w:val="57FD73D2"/>
    <w:rsid w:val="57FF205B"/>
    <w:rsid w:val="57FF5BA6"/>
    <w:rsid w:val="57FFE032"/>
    <w:rsid w:val="5806097D"/>
    <w:rsid w:val="581346E7"/>
    <w:rsid w:val="58140590"/>
    <w:rsid w:val="581A61D6"/>
    <w:rsid w:val="58240E03"/>
    <w:rsid w:val="583059FA"/>
    <w:rsid w:val="584C17AD"/>
    <w:rsid w:val="58501BF8"/>
    <w:rsid w:val="58575E5B"/>
    <w:rsid w:val="585D1474"/>
    <w:rsid w:val="585D2567"/>
    <w:rsid w:val="58611D91"/>
    <w:rsid w:val="58730EC9"/>
    <w:rsid w:val="58761D2A"/>
    <w:rsid w:val="58814FFC"/>
    <w:rsid w:val="588C4742"/>
    <w:rsid w:val="58921EEB"/>
    <w:rsid w:val="58A12453"/>
    <w:rsid w:val="58A91308"/>
    <w:rsid w:val="58B10017"/>
    <w:rsid w:val="58BF0B2C"/>
    <w:rsid w:val="58C12AF6"/>
    <w:rsid w:val="58CB74D0"/>
    <w:rsid w:val="58E30CBE"/>
    <w:rsid w:val="58E6255C"/>
    <w:rsid w:val="58E80082"/>
    <w:rsid w:val="58EE3FCF"/>
    <w:rsid w:val="58F7F815"/>
    <w:rsid w:val="58FC7C6E"/>
    <w:rsid w:val="58FF6C9B"/>
    <w:rsid w:val="590010F5"/>
    <w:rsid w:val="5923730C"/>
    <w:rsid w:val="59260BAB"/>
    <w:rsid w:val="592D390A"/>
    <w:rsid w:val="593212FE"/>
    <w:rsid w:val="59382C63"/>
    <w:rsid w:val="59414C62"/>
    <w:rsid w:val="59463401"/>
    <w:rsid w:val="594804CD"/>
    <w:rsid w:val="594F0C7C"/>
    <w:rsid w:val="595617B7"/>
    <w:rsid w:val="59633BAD"/>
    <w:rsid w:val="5967369D"/>
    <w:rsid w:val="596F4300"/>
    <w:rsid w:val="5975523B"/>
    <w:rsid w:val="597E09E7"/>
    <w:rsid w:val="59803C79"/>
    <w:rsid w:val="59857B27"/>
    <w:rsid w:val="59895F1F"/>
    <w:rsid w:val="598C48FA"/>
    <w:rsid w:val="598D237B"/>
    <w:rsid w:val="59A1101C"/>
    <w:rsid w:val="59B31A01"/>
    <w:rsid w:val="59B960C5"/>
    <w:rsid w:val="59C629B4"/>
    <w:rsid w:val="59D423B5"/>
    <w:rsid w:val="59DA15DB"/>
    <w:rsid w:val="59E17D4C"/>
    <w:rsid w:val="59EC3BA2"/>
    <w:rsid w:val="59F12F67"/>
    <w:rsid w:val="59F67D1B"/>
    <w:rsid w:val="59FE6135"/>
    <w:rsid w:val="59FED2AF"/>
    <w:rsid w:val="5A037A31"/>
    <w:rsid w:val="5A0E1D6B"/>
    <w:rsid w:val="5A1241B2"/>
    <w:rsid w:val="5A22432E"/>
    <w:rsid w:val="5A2D19FE"/>
    <w:rsid w:val="5A335FD3"/>
    <w:rsid w:val="5A3572F7"/>
    <w:rsid w:val="5A3D61AC"/>
    <w:rsid w:val="5A407A4A"/>
    <w:rsid w:val="5A427A40"/>
    <w:rsid w:val="5A4450B6"/>
    <w:rsid w:val="5A461504"/>
    <w:rsid w:val="5A513A05"/>
    <w:rsid w:val="5A551748"/>
    <w:rsid w:val="5A5534F6"/>
    <w:rsid w:val="5A5E7D30"/>
    <w:rsid w:val="5A6452A2"/>
    <w:rsid w:val="5A6A0B89"/>
    <w:rsid w:val="5A7B6CD4"/>
    <w:rsid w:val="5A7D0AC9"/>
    <w:rsid w:val="5A7D47FA"/>
    <w:rsid w:val="5A865701"/>
    <w:rsid w:val="5A89319F"/>
    <w:rsid w:val="5A8B33BB"/>
    <w:rsid w:val="5A8B4701"/>
    <w:rsid w:val="5A8B6F17"/>
    <w:rsid w:val="5AA14B44"/>
    <w:rsid w:val="5AA23E5A"/>
    <w:rsid w:val="5AAE2C06"/>
    <w:rsid w:val="5AB72D62"/>
    <w:rsid w:val="5ABA3CA0"/>
    <w:rsid w:val="5AC72D82"/>
    <w:rsid w:val="5ACC12DE"/>
    <w:rsid w:val="5AD05272"/>
    <w:rsid w:val="5ADD329B"/>
    <w:rsid w:val="5AF6D7D2"/>
    <w:rsid w:val="5AF820D3"/>
    <w:rsid w:val="5AFA4AD0"/>
    <w:rsid w:val="5B01416F"/>
    <w:rsid w:val="5B0D5B7E"/>
    <w:rsid w:val="5B0E2F1F"/>
    <w:rsid w:val="5B1C2265"/>
    <w:rsid w:val="5B203F0F"/>
    <w:rsid w:val="5B225F86"/>
    <w:rsid w:val="5B2353A2"/>
    <w:rsid w:val="5B24736C"/>
    <w:rsid w:val="5B26198F"/>
    <w:rsid w:val="5B29670B"/>
    <w:rsid w:val="5B2B4ECE"/>
    <w:rsid w:val="5B2F7722"/>
    <w:rsid w:val="5B33754E"/>
    <w:rsid w:val="5B3550D5"/>
    <w:rsid w:val="5B372BFB"/>
    <w:rsid w:val="5B386973"/>
    <w:rsid w:val="5B3E6680"/>
    <w:rsid w:val="5B4E633E"/>
    <w:rsid w:val="5B592788"/>
    <w:rsid w:val="5B5C08B4"/>
    <w:rsid w:val="5B5FAEA7"/>
    <w:rsid w:val="5B637E94"/>
    <w:rsid w:val="5B6431F1"/>
    <w:rsid w:val="5B694D7F"/>
    <w:rsid w:val="5B726329"/>
    <w:rsid w:val="5B73FCC2"/>
    <w:rsid w:val="5B7756EE"/>
    <w:rsid w:val="5B7A4614"/>
    <w:rsid w:val="5B7A7BA7"/>
    <w:rsid w:val="5B7C72CD"/>
    <w:rsid w:val="5B7D3C7C"/>
    <w:rsid w:val="5B871DD5"/>
    <w:rsid w:val="5B8816A9"/>
    <w:rsid w:val="5B8B37BD"/>
    <w:rsid w:val="5B8F1B1E"/>
    <w:rsid w:val="5B9242D5"/>
    <w:rsid w:val="5B962018"/>
    <w:rsid w:val="5B9FA757"/>
    <w:rsid w:val="5BA65FD3"/>
    <w:rsid w:val="5BA74EA1"/>
    <w:rsid w:val="5BAF3071"/>
    <w:rsid w:val="5BB029AE"/>
    <w:rsid w:val="5BB47AA6"/>
    <w:rsid w:val="5BB71F8E"/>
    <w:rsid w:val="5BBB7CD0"/>
    <w:rsid w:val="5BBE48AC"/>
    <w:rsid w:val="5BCB77E7"/>
    <w:rsid w:val="5BDD3221"/>
    <w:rsid w:val="5BE80399"/>
    <w:rsid w:val="5BED12D7"/>
    <w:rsid w:val="5BED2726"/>
    <w:rsid w:val="5BF62AB6"/>
    <w:rsid w:val="5BFDCE59"/>
    <w:rsid w:val="5BFF2B61"/>
    <w:rsid w:val="5C013482"/>
    <w:rsid w:val="5C036F81"/>
    <w:rsid w:val="5C0A0310"/>
    <w:rsid w:val="5C0D1BAE"/>
    <w:rsid w:val="5C1318BA"/>
    <w:rsid w:val="5C1473E0"/>
    <w:rsid w:val="5C292E8C"/>
    <w:rsid w:val="5C2D1B8F"/>
    <w:rsid w:val="5C407366"/>
    <w:rsid w:val="5C4E644E"/>
    <w:rsid w:val="5C532299"/>
    <w:rsid w:val="5C5679F9"/>
    <w:rsid w:val="5C5D0D87"/>
    <w:rsid w:val="5C6529BE"/>
    <w:rsid w:val="5C6A2750"/>
    <w:rsid w:val="5C6A4348"/>
    <w:rsid w:val="5C6A4EF3"/>
    <w:rsid w:val="5C71038F"/>
    <w:rsid w:val="5C7557DB"/>
    <w:rsid w:val="5C7FAF46"/>
    <w:rsid w:val="5C846314"/>
    <w:rsid w:val="5C9B365E"/>
    <w:rsid w:val="5C9D6B61"/>
    <w:rsid w:val="5C9F5AEF"/>
    <w:rsid w:val="5CA7566C"/>
    <w:rsid w:val="5CB209A7"/>
    <w:rsid w:val="5CC518CE"/>
    <w:rsid w:val="5CCE758F"/>
    <w:rsid w:val="5CD24D7F"/>
    <w:rsid w:val="5CD65BFE"/>
    <w:rsid w:val="5CDA23D8"/>
    <w:rsid w:val="5CE24E21"/>
    <w:rsid w:val="5CE93970"/>
    <w:rsid w:val="5CED0B67"/>
    <w:rsid w:val="5CED210B"/>
    <w:rsid w:val="5CEF4BBD"/>
    <w:rsid w:val="5CF173C9"/>
    <w:rsid w:val="5CF4F040"/>
    <w:rsid w:val="5CFB20F8"/>
    <w:rsid w:val="5D017965"/>
    <w:rsid w:val="5D0362FE"/>
    <w:rsid w:val="5D041203"/>
    <w:rsid w:val="5D0448EB"/>
    <w:rsid w:val="5D067F49"/>
    <w:rsid w:val="5D1551BE"/>
    <w:rsid w:val="5D1A0A26"/>
    <w:rsid w:val="5D1F603D"/>
    <w:rsid w:val="5D211DB5"/>
    <w:rsid w:val="5D237E74"/>
    <w:rsid w:val="5D2605DB"/>
    <w:rsid w:val="5D330895"/>
    <w:rsid w:val="5D373386"/>
    <w:rsid w:val="5D557CB0"/>
    <w:rsid w:val="5D5DB3F0"/>
    <w:rsid w:val="5D645056"/>
    <w:rsid w:val="5D6879E4"/>
    <w:rsid w:val="5D6E050F"/>
    <w:rsid w:val="5D700646"/>
    <w:rsid w:val="5D746389"/>
    <w:rsid w:val="5D7A14C5"/>
    <w:rsid w:val="5D861C18"/>
    <w:rsid w:val="5D8B5480"/>
    <w:rsid w:val="5D8F4F70"/>
    <w:rsid w:val="5D910EA3"/>
    <w:rsid w:val="5D9E51B4"/>
    <w:rsid w:val="5DA84284"/>
    <w:rsid w:val="5DB70023"/>
    <w:rsid w:val="5DBB316A"/>
    <w:rsid w:val="5DBB3FB7"/>
    <w:rsid w:val="5DBB8562"/>
    <w:rsid w:val="5DBBDFD2"/>
    <w:rsid w:val="5DD010E5"/>
    <w:rsid w:val="5DD40BD5"/>
    <w:rsid w:val="5DE80B25"/>
    <w:rsid w:val="5DF0BC6E"/>
    <w:rsid w:val="5DF55733"/>
    <w:rsid w:val="5DF91C71"/>
    <w:rsid w:val="5DFE3EA4"/>
    <w:rsid w:val="5DFFBC50"/>
    <w:rsid w:val="5E003703"/>
    <w:rsid w:val="5E0D2339"/>
    <w:rsid w:val="5E1447C0"/>
    <w:rsid w:val="5E1A5AE7"/>
    <w:rsid w:val="5E1C19D8"/>
    <w:rsid w:val="5E1E00A2"/>
    <w:rsid w:val="5E1E62F4"/>
    <w:rsid w:val="5E3B0C54"/>
    <w:rsid w:val="5E40626B"/>
    <w:rsid w:val="5E4A0E97"/>
    <w:rsid w:val="5E4C10B3"/>
    <w:rsid w:val="5E5B12F6"/>
    <w:rsid w:val="5E631F59"/>
    <w:rsid w:val="5E6957C1"/>
    <w:rsid w:val="5E6BB200"/>
    <w:rsid w:val="5E734892"/>
    <w:rsid w:val="5E745F14"/>
    <w:rsid w:val="5E794778"/>
    <w:rsid w:val="5E895E64"/>
    <w:rsid w:val="5E8A398A"/>
    <w:rsid w:val="5E903C64"/>
    <w:rsid w:val="5E912ACB"/>
    <w:rsid w:val="5E9E2432"/>
    <w:rsid w:val="5E9F2DFD"/>
    <w:rsid w:val="5EA80A59"/>
    <w:rsid w:val="5EAE7678"/>
    <w:rsid w:val="5EB03781"/>
    <w:rsid w:val="5EB629D1"/>
    <w:rsid w:val="5EC2182D"/>
    <w:rsid w:val="5EC56770"/>
    <w:rsid w:val="5EC72965"/>
    <w:rsid w:val="5ECA5457"/>
    <w:rsid w:val="5ECE3876"/>
    <w:rsid w:val="5ED15115"/>
    <w:rsid w:val="5EE254A0"/>
    <w:rsid w:val="5EEE97CD"/>
    <w:rsid w:val="5EEF9F01"/>
    <w:rsid w:val="5EEFA1C8"/>
    <w:rsid w:val="5EF05EE3"/>
    <w:rsid w:val="5EF3152F"/>
    <w:rsid w:val="5EF86B45"/>
    <w:rsid w:val="5EFD20BF"/>
    <w:rsid w:val="5EFF1C82"/>
    <w:rsid w:val="5EFFFF13"/>
    <w:rsid w:val="5F017640"/>
    <w:rsid w:val="5F076D88"/>
    <w:rsid w:val="5F0A312B"/>
    <w:rsid w:val="5F0C2933"/>
    <w:rsid w:val="5F0E6369"/>
    <w:rsid w:val="5F1C6CD8"/>
    <w:rsid w:val="5F1F0576"/>
    <w:rsid w:val="5F2040BD"/>
    <w:rsid w:val="5F2913F5"/>
    <w:rsid w:val="5F2B2A77"/>
    <w:rsid w:val="5F2B6F1B"/>
    <w:rsid w:val="5F2F815E"/>
    <w:rsid w:val="5F335DCF"/>
    <w:rsid w:val="5F3758C0"/>
    <w:rsid w:val="5F3B6A32"/>
    <w:rsid w:val="5F3DF784"/>
    <w:rsid w:val="5F3E1A3F"/>
    <w:rsid w:val="5F3F1701"/>
    <w:rsid w:val="5F3F4774"/>
    <w:rsid w:val="5F3FF078"/>
    <w:rsid w:val="5F474FD0"/>
    <w:rsid w:val="5F4D6E91"/>
    <w:rsid w:val="5F5024DD"/>
    <w:rsid w:val="5F531FCE"/>
    <w:rsid w:val="5F5788E7"/>
    <w:rsid w:val="5F6303BF"/>
    <w:rsid w:val="5F6615AE"/>
    <w:rsid w:val="5F6E6E08"/>
    <w:rsid w:val="5F7308DF"/>
    <w:rsid w:val="5F744775"/>
    <w:rsid w:val="5F7E54FA"/>
    <w:rsid w:val="5F7EC568"/>
    <w:rsid w:val="5F7FAF18"/>
    <w:rsid w:val="5F816B3B"/>
    <w:rsid w:val="5F887EC9"/>
    <w:rsid w:val="5F8C0D1D"/>
    <w:rsid w:val="5F906D7E"/>
    <w:rsid w:val="5F915AD1"/>
    <w:rsid w:val="5F9176A0"/>
    <w:rsid w:val="5F943C9B"/>
    <w:rsid w:val="5F9920D6"/>
    <w:rsid w:val="5F9958C6"/>
    <w:rsid w:val="5F9C16A8"/>
    <w:rsid w:val="5F9D3488"/>
    <w:rsid w:val="5F9D39DD"/>
    <w:rsid w:val="5F9E593F"/>
    <w:rsid w:val="5FA16FA6"/>
    <w:rsid w:val="5FAE80E1"/>
    <w:rsid w:val="5FAF36A8"/>
    <w:rsid w:val="5FAF3F80"/>
    <w:rsid w:val="5FB1DB38"/>
    <w:rsid w:val="5FB93683"/>
    <w:rsid w:val="5FBCF246"/>
    <w:rsid w:val="5FCA04E2"/>
    <w:rsid w:val="5FD7CEC1"/>
    <w:rsid w:val="5FD9012C"/>
    <w:rsid w:val="5FDC1FC3"/>
    <w:rsid w:val="5FDF82EC"/>
    <w:rsid w:val="5FE90037"/>
    <w:rsid w:val="5FEA2932"/>
    <w:rsid w:val="5FEC1E5B"/>
    <w:rsid w:val="5FEE3BBA"/>
    <w:rsid w:val="5FEF7F48"/>
    <w:rsid w:val="5FEFE6B4"/>
    <w:rsid w:val="5FF1493A"/>
    <w:rsid w:val="5FFE1F39"/>
    <w:rsid w:val="5FFED320"/>
    <w:rsid w:val="5FFF60F8"/>
    <w:rsid w:val="5FFF87ED"/>
    <w:rsid w:val="5FFF8C87"/>
    <w:rsid w:val="60011A2A"/>
    <w:rsid w:val="600339F4"/>
    <w:rsid w:val="60034496"/>
    <w:rsid w:val="600A08E8"/>
    <w:rsid w:val="60213E7A"/>
    <w:rsid w:val="6025381A"/>
    <w:rsid w:val="602C4CF9"/>
    <w:rsid w:val="603E1BD1"/>
    <w:rsid w:val="60402552"/>
    <w:rsid w:val="604F4E8B"/>
    <w:rsid w:val="605E595F"/>
    <w:rsid w:val="606D714B"/>
    <w:rsid w:val="60707FC7"/>
    <w:rsid w:val="60786190"/>
    <w:rsid w:val="609D17F1"/>
    <w:rsid w:val="60A31868"/>
    <w:rsid w:val="60A42E1E"/>
    <w:rsid w:val="60BA67A8"/>
    <w:rsid w:val="60BE22CB"/>
    <w:rsid w:val="60C342D8"/>
    <w:rsid w:val="60C413D5"/>
    <w:rsid w:val="60C87E34"/>
    <w:rsid w:val="60CD4617"/>
    <w:rsid w:val="60CF1B28"/>
    <w:rsid w:val="60D333C6"/>
    <w:rsid w:val="60D61108"/>
    <w:rsid w:val="60DF1D6B"/>
    <w:rsid w:val="60E23609"/>
    <w:rsid w:val="60EA792E"/>
    <w:rsid w:val="60EC4488"/>
    <w:rsid w:val="60EF0196"/>
    <w:rsid w:val="60FB0B6F"/>
    <w:rsid w:val="610C0AC7"/>
    <w:rsid w:val="610F4CC8"/>
    <w:rsid w:val="610F7EB7"/>
    <w:rsid w:val="6110461A"/>
    <w:rsid w:val="61120392"/>
    <w:rsid w:val="61122B5C"/>
    <w:rsid w:val="61131A15"/>
    <w:rsid w:val="61137C66"/>
    <w:rsid w:val="6115578D"/>
    <w:rsid w:val="61161505"/>
    <w:rsid w:val="61227EAA"/>
    <w:rsid w:val="61377DF9"/>
    <w:rsid w:val="613F43F1"/>
    <w:rsid w:val="6145071A"/>
    <w:rsid w:val="614E5143"/>
    <w:rsid w:val="61532759"/>
    <w:rsid w:val="61561BDD"/>
    <w:rsid w:val="616015E2"/>
    <w:rsid w:val="616109D2"/>
    <w:rsid w:val="6162299C"/>
    <w:rsid w:val="617D1584"/>
    <w:rsid w:val="617D6119"/>
    <w:rsid w:val="618801F6"/>
    <w:rsid w:val="61891CD7"/>
    <w:rsid w:val="61927223"/>
    <w:rsid w:val="61946FF9"/>
    <w:rsid w:val="61952D71"/>
    <w:rsid w:val="61957375"/>
    <w:rsid w:val="61970898"/>
    <w:rsid w:val="619A0028"/>
    <w:rsid w:val="619F78E4"/>
    <w:rsid w:val="61A11716"/>
    <w:rsid w:val="61C15914"/>
    <w:rsid w:val="61C6117D"/>
    <w:rsid w:val="61C96577"/>
    <w:rsid w:val="61CB0541"/>
    <w:rsid w:val="61CC3B61"/>
    <w:rsid w:val="61D373F6"/>
    <w:rsid w:val="61D4389A"/>
    <w:rsid w:val="61D5318F"/>
    <w:rsid w:val="61DF3FED"/>
    <w:rsid w:val="61E91E30"/>
    <w:rsid w:val="61F47A98"/>
    <w:rsid w:val="61F96E5C"/>
    <w:rsid w:val="6204166E"/>
    <w:rsid w:val="62074895"/>
    <w:rsid w:val="620A72BB"/>
    <w:rsid w:val="620F1CE8"/>
    <w:rsid w:val="621C3798"/>
    <w:rsid w:val="621D7D04"/>
    <w:rsid w:val="6222562A"/>
    <w:rsid w:val="62255429"/>
    <w:rsid w:val="622814F0"/>
    <w:rsid w:val="622A34BA"/>
    <w:rsid w:val="623065F6"/>
    <w:rsid w:val="623E192C"/>
    <w:rsid w:val="62426A55"/>
    <w:rsid w:val="62650996"/>
    <w:rsid w:val="62683FE2"/>
    <w:rsid w:val="626E21EF"/>
    <w:rsid w:val="626F48AA"/>
    <w:rsid w:val="62744735"/>
    <w:rsid w:val="627E3805"/>
    <w:rsid w:val="62873527"/>
    <w:rsid w:val="62945B34"/>
    <w:rsid w:val="629B7F14"/>
    <w:rsid w:val="62A25746"/>
    <w:rsid w:val="62A74B0A"/>
    <w:rsid w:val="62B04D78"/>
    <w:rsid w:val="62BB6808"/>
    <w:rsid w:val="62BC7E8A"/>
    <w:rsid w:val="62BE0EE5"/>
    <w:rsid w:val="62CC631F"/>
    <w:rsid w:val="62D5269D"/>
    <w:rsid w:val="62E0626E"/>
    <w:rsid w:val="62ED4E04"/>
    <w:rsid w:val="62EF5307"/>
    <w:rsid w:val="62F7456C"/>
    <w:rsid w:val="62F74CE3"/>
    <w:rsid w:val="62FF7219"/>
    <w:rsid w:val="630006BE"/>
    <w:rsid w:val="63027F93"/>
    <w:rsid w:val="63046CF6"/>
    <w:rsid w:val="631303F2"/>
    <w:rsid w:val="631572EE"/>
    <w:rsid w:val="63161C90"/>
    <w:rsid w:val="63220635"/>
    <w:rsid w:val="632F0F4B"/>
    <w:rsid w:val="633640E0"/>
    <w:rsid w:val="63381C06"/>
    <w:rsid w:val="633839B4"/>
    <w:rsid w:val="63436C5F"/>
    <w:rsid w:val="63473BF7"/>
    <w:rsid w:val="63511E5D"/>
    <w:rsid w:val="635A3E93"/>
    <w:rsid w:val="63754C08"/>
    <w:rsid w:val="63774C52"/>
    <w:rsid w:val="63790205"/>
    <w:rsid w:val="637F3391"/>
    <w:rsid w:val="6383687B"/>
    <w:rsid w:val="63993936"/>
    <w:rsid w:val="639D7B4D"/>
    <w:rsid w:val="639F56D6"/>
    <w:rsid w:val="63A70B3A"/>
    <w:rsid w:val="63AD43A2"/>
    <w:rsid w:val="63AD5DF8"/>
    <w:rsid w:val="63C33BC6"/>
    <w:rsid w:val="63C4043C"/>
    <w:rsid w:val="63D77FCF"/>
    <w:rsid w:val="63DC5323"/>
    <w:rsid w:val="63E079CB"/>
    <w:rsid w:val="63E80FE3"/>
    <w:rsid w:val="63EE6769"/>
    <w:rsid w:val="63EEB6BD"/>
    <w:rsid w:val="63F024E1"/>
    <w:rsid w:val="63F2041F"/>
    <w:rsid w:val="63F83144"/>
    <w:rsid w:val="63F905F2"/>
    <w:rsid w:val="63FEC976"/>
    <w:rsid w:val="64047D3A"/>
    <w:rsid w:val="64095351"/>
    <w:rsid w:val="64153CF6"/>
    <w:rsid w:val="6415668A"/>
    <w:rsid w:val="64180B32"/>
    <w:rsid w:val="641B0F94"/>
    <w:rsid w:val="642D7291"/>
    <w:rsid w:val="644146A7"/>
    <w:rsid w:val="644F5459"/>
    <w:rsid w:val="64547BCE"/>
    <w:rsid w:val="6461518D"/>
    <w:rsid w:val="64615D3C"/>
    <w:rsid w:val="646A4041"/>
    <w:rsid w:val="646D1D84"/>
    <w:rsid w:val="646F1763"/>
    <w:rsid w:val="647E7AED"/>
    <w:rsid w:val="64850E7B"/>
    <w:rsid w:val="6488096B"/>
    <w:rsid w:val="648844C8"/>
    <w:rsid w:val="64917671"/>
    <w:rsid w:val="64966BE4"/>
    <w:rsid w:val="64A07A63"/>
    <w:rsid w:val="64A357A5"/>
    <w:rsid w:val="64AA08E2"/>
    <w:rsid w:val="64AA19BA"/>
    <w:rsid w:val="64BB5AAC"/>
    <w:rsid w:val="64BE438D"/>
    <w:rsid w:val="64C03C61"/>
    <w:rsid w:val="64D27C0B"/>
    <w:rsid w:val="64DB4F3F"/>
    <w:rsid w:val="64F41B5D"/>
    <w:rsid w:val="64F8164D"/>
    <w:rsid w:val="64FE564E"/>
    <w:rsid w:val="65017B21"/>
    <w:rsid w:val="65075D34"/>
    <w:rsid w:val="650A5824"/>
    <w:rsid w:val="651915C4"/>
    <w:rsid w:val="651B6FBB"/>
    <w:rsid w:val="652A9A86"/>
    <w:rsid w:val="652B1D65"/>
    <w:rsid w:val="65322B0A"/>
    <w:rsid w:val="65336B29"/>
    <w:rsid w:val="6546685C"/>
    <w:rsid w:val="655E55F5"/>
    <w:rsid w:val="6562740E"/>
    <w:rsid w:val="6563683B"/>
    <w:rsid w:val="6570388E"/>
    <w:rsid w:val="65771107"/>
    <w:rsid w:val="657B402C"/>
    <w:rsid w:val="658308A0"/>
    <w:rsid w:val="65842EE1"/>
    <w:rsid w:val="658A5930"/>
    <w:rsid w:val="65A215B9"/>
    <w:rsid w:val="65A92947"/>
    <w:rsid w:val="65AD6A89"/>
    <w:rsid w:val="65B03CD6"/>
    <w:rsid w:val="65B55790"/>
    <w:rsid w:val="65C6097E"/>
    <w:rsid w:val="65C807CB"/>
    <w:rsid w:val="65CE6852"/>
    <w:rsid w:val="65D200F0"/>
    <w:rsid w:val="65D73958"/>
    <w:rsid w:val="65D774B5"/>
    <w:rsid w:val="65D8322D"/>
    <w:rsid w:val="65D9138D"/>
    <w:rsid w:val="65D969F1"/>
    <w:rsid w:val="65E30D71"/>
    <w:rsid w:val="65E41BD1"/>
    <w:rsid w:val="65E43CBA"/>
    <w:rsid w:val="65E46075"/>
    <w:rsid w:val="65F95F4D"/>
    <w:rsid w:val="66061B48"/>
    <w:rsid w:val="66067D9A"/>
    <w:rsid w:val="660E2D65"/>
    <w:rsid w:val="662446C4"/>
    <w:rsid w:val="662621EA"/>
    <w:rsid w:val="662841B4"/>
    <w:rsid w:val="66287D10"/>
    <w:rsid w:val="662B15AE"/>
    <w:rsid w:val="66356D3F"/>
    <w:rsid w:val="6637243F"/>
    <w:rsid w:val="66372A2B"/>
    <w:rsid w:val="663761A5"/>
    <w:rsid w:val="6639473B"/>
    <w:rsid w:val="665054B9"/>
    <w:rsid w:val="665135D2"/>
    <w:rsid w:val="66564EF2"/>
    <w:rsid w:val="66644AC0"/>
    <w:rsid w:val="667F9FC9"/>
    <w:rsid w:val="668D2269"/>
    <w:rsid w:val="668F4A03"/>
    <w:rsid w:val="669D0EEA"/>
    <w:rsid w:val="66AA4BC9"/>
    <w:rsid w:val="66AC783F"/>
    <w:rsid w:val="66AF0431"/>
    <w:rsid w:val="66B94E0C"/>
    <w:rsid w:val="66BF9FF8"/>
    <w:rsid w:val="66C67529"/>
    <w:rsid w:val="66C8094F"/>
    <w:rsid w:val="66CC2AA0"/>
    <w:rsid w:val="66D40758"/>
    <w:rsid w:val="66E005EB"/>
    <w:rsid w:val="66E863F5"/>
    <w:rsid w:val="66FC2F4B"/>
    <w:rsid w:val="66FF35AE"/>
    <w:rsid w:val="671169F6"/>
    <w:rsid w:val="6712276E"/>
    <w:rsid w:val="671309C0"/>
    <w:rsid w:val="67144738"/>
    <w:rsid w:val="6715641D"/>
    <w:rsid w:val="672506F4"/>
    <w:rsid w:val="672562C1"/>
    <w:rsid w:val="67272B2C"/>
    <w:rsid w:val="67317098"/>
    <w:rsid w:val="67353E1A"/>
    <w:rsid w:val="673D1B77"/>
    <w:rsid w:val="674163ED"/>
    <w:rsid w:val="675B4ABF"/>
    <w:rsid w:val="675E24AA"/>
    <w:rsid w:val="676921F0"/>
    <w:rsid w:val="676C02BE"/>
    <w:rsid w:val="676E3E49"/>
    <w:rsid w:val="677B48A5"/>
    <w:rsid w:val="677D0530"/>
    <w:rsid w:val="677F7AE5"/>
    <w:rsid w:val="678371C8"/>
    <w:rsid w:val="678C57A5"/>
    <w:rsid w:val="679118E5"/>
    <w:rsid w:val="679226FC"/>
    <w:rsid w:val="67984F99"/>
    <w:rsid w:val="679A69EC"/>
    <w:rsid w:val="67A4621A"/>
    <w:rsid w:val="67A63FE5"/>
    <w:rsid w:val="67A755AC"/>
    <w:rsid w:val="67AA4642"/>
    <w:rsid w:val="67B01CAC"/>
    <w:rsid w:val="67B13D35"/>
    <w:rsid w:val="67B51A77"/>
    <w:rsid w:val="67BDA812"/>
    <w:rsid w:val="67C27CF0"/>
    <w:rsid w:val="67C31BCB"/>
    <w:rsid w:val="67C57A81"/>
    <w:rsid w:val="67C65A33"/>
    <w:rsid w:val="67CB129B"/>
    <w:rsid w:val="67D00572"/>
    <w:rsid w:val="67DB389F"/>
    <w:rsid w:val="67DDA1BF"/>
    <w:rsid w:val="67DE4477"/>
    <w:rsid w:val="67E10ABE"/>
    <w:rsid w:val="67EC2FBF"/>
    <w:rsid w:val="67EFE666"/>
    <w:rsid w:val="67F6DE86"/>
    <w:rsid w:val="67FF2125"/>
    <w:rsid w:val="67FF45CB"/>
    <w:rsid w:val="680B78E9"/>
    <w:rsid w:val="68103152"/>
    <w:rsid w:val="68120C78"/>
    <w:rsid w:val="683F7593"/>
    <w:rsid w:val="684935A8"/>
    <w:rsid w:val="684A5B95"/>
    <w:rsid w:val="684B12DC"/>
    <w:rsid w:val="68526641"/>
    <w:rsid w:val="68572B2F"/>
    <w:rsid w:val="685C6397"/>
    <w:rsid w:val="68692862"/>
    <w:rsid w:val="686D4100"/>
    <w:rsid w:val="6876AAFA"/>
    <w:rsid w:val="687C07E7"/>
    <w:rsid w:val="68817BAC"/>
    <w:rsid w:val="6884144A"/>
    <w:rsid w:val="6885769C"/>
    <w:rsid w:val="688A7410"/>
    <w:rsid w:val="688F22C8"/>
    <w:rsid w:val="68914293"/>
    <w:rsid w:val="68970A5A"/>
    <w:rsid w:val="689C49E5"/>
    <w:rsid w:val="689E42BA"/>
    <w:rsid w:val="68A8338A"/>
    <w:rsid w:val="68AC4DF8"/>
    <w:rsid w:val="68B0223F"/>
    <w:rsid w:val="68B62288"/>
    <w:rsid w:val="68B63CF9"/>
    <w:rsid w:val="68B7181F"/>
    <w:rsid w:val="68B95597"/>
    <w:rsid w:val="68BB5E0A"/>
    <w:rsid w:val="68BF4421"/>
    <w:rsid w:val="68C31F72"/>
    <w:rsid w:val="68C67E89"/>
    <w:rsid w:val="68D45F2D"/>
    <w:rsid w:val="68D75681"/>
    <w:rsid w:val="68D75A1D"/>
    <w:rsid w:val="68D76E05"/>
    <w:rsid w:val="68D87B22"/>
    <w:rsid w:val="68F86DDF"/>
    <w:rsid w:val="68FD5600"/>
    <w:rsid w:val="69011296"/>
    <w:rsid w:val="690401B8"/>
    <w:rsid w:val="690534E5"/>
    <w:rsid w:val="690F545F"/>
    <w:rsid w:val="69112CDD"/>
    <w:rsid w:val="69176338"/>
    <w:rsid w:val="691C126D"/>
    <w:rsid w:val="691C4781"/>
    <w:rsid w:val="69213CFF"/>
    <w:rsid w:val="69232A11"/>
    <w:rsid w:val="693862AF"/>
    <w:rsid w:val="694806C9"/>
    <w:rsid w:val="69495444"/>
    <w:rsid w:val="696A60FD"/>
    <w:rsid w:val="69735746"/>
    <w:rsid w:val="697E31A1"/>
    <w:rsid w:val="69876FFE"/>
    <w:rsid w:val="698C05B6"/>
    <w:rsid w:val="69961435"/>
    <w:rsid w:val="69A578CA"/>
    <w:rsid w:val="69A71894"/>
    <w:rsid w:val="69A95A00"/>
    <w:rsid w:val="69C77840"/>
    <w:rsid w:val="69D16911"/>
    <w:rsid w:val="69D53F58"/>
    <w:rsid w:val="69DC547B"/>
    <w:rsid w:val="69DFA42B"/>
    <w:rsid w:val="69FA19C4"/>
    <w:rsid w:val="6A013367"/>
    <w:rsid w:val="6A0C2D1B"/>
    <w:rsid w:val="6A175A16"/>
    <w:rsid w:val="6A184540"/>
    <w:rsid w:val="6A252F51"/>
    <w:rsid w:val="6A276531"/>
    <w:rsid w:val="6A333088"/>
    <w:rsid w:val="6A4454E8"/>
    <w:rsid w:val="6A466A15"/>
    <w:rsid w:val="6A503CD9"/>
    <w:rsid w:val="6A5B4C9F"/>
    <w:rsid w:val="6A5F816E"/>
    <w:rsid w:val="6A5FFCDE"/>
    <w:rsid w:val="6A687275"/>
    <w:rsid w:val="6A8C79EA"/>
    <w:rsid w:val="6A8D2298"/>
    <w:rsid w:val="6A8D2E0C"/>
    <w:rsid w:val="6A9172FD"/>
    <w:rsid w:val="6A931FAB"/>
    <w:rsid w:val="6A971908"/>
    <w:rsid w:val="6A9962E0"/>
    <w:rsid w:val="6AA06AFB"/>
    <w:rsid w:val="6AA836B6"/>
    <w:rsid w:val="6AA95198"/>
    <w:rsid w:val="6AAC038F"/>
    <w:rsid w:val="6AB097F7"/>
    <w:rsid w:val="6ACA3D19"/>
    <w:rsid w:val="6ACD43D7"/>
    <w:rsid w:val="6AD06EBD"/>
    <w:rsid w:val="6AD95A7D"/>
    <w:rsid w:val="6AE21243"/>
    <w:rsid w:val="6AEDE0A1"/>
    <w:rsid w:val="6AEFDD9C"/>
    <w:rsid w:val="6AF80EDE"/>
    <w:rsid w:val="6AF91C7B"/>
    <w:rsid w:val="6B0A20DA"/>
    <w:rsid w:val="6B0C5E52"/>
    <w:rsid w:val="6B0F5943"/>
    <w:rsid w:val="6B177FD9"/>
    <w:rsid w:val="6B18254B"/>
    <w:rsid w:val="6B1C767A"/>
    <w:rsid w:val="6B230079"/>
    <w:rsid w:val="6B277CD9"/>
    <w:rsid w:val="6B347990"/>
    <w:rsid w:val="6B3B6738"/>
    <w:rsid w:val="6B3C52D6"/>
    <w:rsid w:val="6B3C7DBA"/>
    <w:rsid w:val="6B3D425E"/>
    <w:rsid w:val="6B403D4E"/>
    <w:rsid w:val="6B4C26F3"/>
    <w:rsid w:val="6B533A81"/>
    <w:rsid w:val="6B5C6BFB"/>
    <w:rsid w:val="6B60619E"/>
    <w:rsid w:val="6B77103C"/>
    <w:rsid w:val="6B7E03D2"/>
    <w:rsid w:val="6B826114"/>
    <w:rsid w:val="6B827EC3"/>
    <w:rsid w:val="6B8B36A1"/>
    <w:rsid w:val="6B945E48"/>
    <w:rsid w:val="6B981494"/>
    <w:rsid w:val="6B9876E6"/>
    <w:rsid w:val="6B9F79B8"/>
    <w:rsid w:val="6BAC3191"/>
    <w:rsid w:val="6BAF2C82"/>
    <w:rsid w:val="6BB8A9F2"/>
    <w:rsid w:val="6BBE50B3"/>
    <w:rsid w:val="6BBF6D73"/>
    <w:rsid w:val="6BBF806C"/>
    <w:rsid w:val="6BCC7390"/>
    <w:rsid w:val="6BD12BF8"/>
    <w:rsid w:val="6BE1509C"/>
    <w:rsid w:val="6BE64207"/>
    <w:rsid w:val="6BEB9CB2"/>
    <w:rsid w:val="6BEF307E"/>
    <w:rsid w:val="6BF17930"/>
    <w:rsid w:val="6BF84629"/>
    <w:rsid w:val="6BFD579B"/>
    <w:rsid w:val="6C060AF4"/>
    <w:rsid w:val="6C154F6E"/>
    <w:rsid w:val="6C1B3E73"/>
    <w:rsid w:val="6C1D408F"/>
    <w:rsid w:val="6C2C7E2E"/>
    <w:rsid w:val="6C303DC2"/>
    <w:rsid w:val="6C3B1F94"/>
    <w:rsid w:val="6C44161C"/>
    <w:rsid w:val="6C68355C"/>
    <w:rsid w:val="6C6860E7"/>
    <w:rsid w:val="6C6B227B"/>
    <w:rsid w:val="6C6D04DE"/>
    <w:rsid w:val="6C77379F"/>
    <w:rsid w:val="6C783074"/>
    <w:rsid w:val="6C8B724B"/>
    <w:rsid w:val="6C9A748E"/>
    <w:rsid w:val="6CA43D4D"/>
    <w:rsid w:val="6CAE6A95"/>
    <w:rsid w:val="6CAF6502"/>
    <w:rsid w:val="6CB247D7"/>
    <w:rsid w:val="6CB5251A"/>
    <w:rsid w:val="6CD27164"/>
    <w:rsid w:val="6CD429A0"/>
    <w:rsid w:val="6CD45222"/>
    <w:rsid w:val="6CE34991"/>
    <w:rsid w:val="6CEA21C3"/>
    <w:rsid w:val="6CF36E25"/>
    <w:rsid w:val="6CFE4823"/>
    <w:rsid w:val="6CFF1ED4"/>
    <w:rsid w:val="6CFF35D4"/>
    <w:rsid w:val="6D012A4C"/>
    <w:rsid w:val="6D066B51"/>
    <w:rsid w:val="6D0D4104"/>
    <w:rsid w:val="6D13646F"/>
    <w:rsid w:val="6D194857"/>
    <w:rsid w:val="6D1B140E"/>
    <w:rsid w:val="6D2531FB"/>
    <w:rsid w:val="6D254FA9"/>
    <w:rsid w:val="6D2A6A64"/>
    <w:rsid w:val="6D323B6A"/>
    <w:rsid w:val="6D36583B"/>
    <w:rsid w:val="6D372F2F"/>
    <w:rsid w:val="6D3E06C9"/>
    <w:rsid w:val="6D434DE7"/>
    <w:rsid w:val="6D54763D"/>
    <w:rsid w:val="6D5910F7"/>
    <w:rsid w:val="6D5E6215"/>
    <w:rsid w:val="6D617FAC"/>
    <w:rsid w:val="6D635AD2"/>
    <w:rsid w:val="6D657A9C"/>
    <w:rsid w:val="6D6A3304"/>
    <w:rsid w:val="6D6B4E7B"/>
    <w:rsid w:val="6D6C2BD8"/>
    <w:rsid w:val="6D723F67"/>
    <w:rsid w:val="6D795183"/>
    <w:rsid w:val="6D7E1BAE"/>
    <w:rsid w:val="6D901B30"/>
    <w:rsid w:val="6D910E5A"/>
    <w:rsid w:val="6D920165"/>
    <w:rsid w:val="6D9739CD"/>
    <w:rsid w:val="6D9FBBAD"/>
    <w:rsid w:val="6DA03264"/>
    <w:rsid w:val="6DA32E70"/>
    <w:rsid w:val="6DA5433C"/>
    <w:rsid w:val="6DB602F7"/>
    <w:rsid w:val="6DB66549"/>
    <w:rsid w:val="6DB6AE5B"/>
    <w:rsid w:val="6DB8318D"/>
    <w:rsid w:val="6DBB3B60"/>
    <w:rsid w:val="6DBF207B"/>
    <w:rsid w:val="6DBF3A8D"/>
    <w:rsid w:val="6DC80714"/>
    <w:rsid w:val="6DDB1B0C"/>
    <w:rsid w:val="6DDB7D5E"/>
    <w:rsid w:val="6DDD2184"/>
    <w:rsid w:val="6DDD7632"/>
    <w:rsid w:val="6DE317CE"/>
    <w:rsid w:val="6DEC3D19"/>
    <w:rsid w:val="6DEFEEB2"/>
    <w:rsid w:val="6DF350A8"/>
    <w:rsid w:val="6DFB8734"/>
    <w:rsid w:val="6DFFF0FC"/>
    <w:rsid w:val="6E012560"/>
    <w:rsid w:val="6E0252EB"/>
    <w:rsid w:val="6E0F643B"/>
    <w:rsid w:val="6E0F771C"/>
    <w:rsid w:val="6E1B015A"/>
    <w:rsid w:val="6E2A0BA2"/>
    <w:rsid w:val="6E313E22"/>
    <w:rsid w:val="6E350089"/>
    <w:rsid w:val="6E395096"/>
    <w:rsid w:val="6E3D6999"/>
    <w:rsid w:val="6E427DDD"/>
    <w:rsid w:val="6E586C17"/>
    <w:rsid w:val="6E5A57A1"/>
    <w:rsid w:val="6E6632C4"/>
    <w:rsid w:val="6E6733A0"/>
    <w:rsid w:val="6E6B3149"/>
    <w:rsid w:val="6E737F96"/>
    <w:rsid w:val="6E754F86"/>
    <w:rsid w:val="6E7F4B8D"/>
    <w:rsid w:val="6E7FAA57"/>
    <w:rsid w:val="6E8403F6"/>
    <w:rsid w:val="6E891568"/>
    <w:rsid w:val="6E8C2E06"/>
    <w:rsid w:val="6E8D386E"/>
    <w:rsid w:val="6E8E4DD0"/>
    <w:rsid w:val="6E9248C1"/>
    <w:rsid w:val="6E963C85"/>
    <w:rsid w:val="6E9E16B3"/>
    <w:rsid w:val="6E9E65FF"/>
    <w:rsid w:val="6E9F0D8B"/>
    <w:rsid w:val="6EA24120"/>
    <w:rsid w:val="6EA48497"/>
    <w:rsid w:val="6EA7610A"/>
    <w:rsid w:val="6EAD0CC6"/>
    <w:rsid w:val="6EB52295"/>
    <w:rsid w:val="6EB61B09"/>
    <w:rsid w:val="6EC802E2"/>
    <w:rsid w:val="6EC840A3"/>
    <w:rsid w:val="6ECF7116"/>
    <w:rsid w:val="6ED42570"/>
    <w:rsid w:val="6ED674E5"/>
    <w:rsid w:val="6EDC1FE0"/>
    <w:rsid w:val="6EE13152"/>
    <w:rsid w:val="6EEA32A6"/>
    <w:rsid w:val="6EEE586F"/>
    <w:rsid w:val="6EF58D5E"/>
    <w:rsid w:val="6EF94940"/>
    <w:rsid w:val="6EFA248B"/>
    <w:rsid w:val="6EFB6E19"/>
    <w:rsid w:val="6F12155D"/>
    <w:rsid w:val="6F1C418A"/>
    <w:rsid w:val="6F1C7514"/>
    <w:rsid w:val="6F1D413C"/>
    <w:rsid w:val="6F1E43A6"/>
    <w:rsid w:val="6F235519"/>
    <w:rsid w:val="6F2E2059"/>
    <w:rsid w:val="6F347726"/>
    <w:rsid w:val="6F35524C"/>
    <w:rsid w:val="6F3A5C2F"/>
    <w:rsid w:val="6F3C2A7E"/>
    <w:rsid w:val="6F3E1E02"/>
    <w:rsid w:val="6F3E4BA1"/>
    <w:rsid w:val="6F4B2CC1"/>
    <w:rsid w:val="6F4F0831"/>
    <w:rsid w:val="6F547760"/>
    <w:rsid w:val="6F574246"/>
    <w:rsid w:val="6F593630"/>
    <w:rsid w:val="6F59A2C8"/>
    <w:rsid w:val="6F5C0A2B"/>
    <w:rsid w:val="6F5C6C7D"/>
    <w:rsid w:val="6F677E6E"/>
    <w:rsid w:val="6F6AC84D"/>
    <w:rsid w:val="6F742218"/>
    <w:rsid w:val="6F752D22"/>
    <w:rsid w:val="6F7E97AF"/>
    <w:rsid w:val="6F7F1EFD"/>
    <w:rsid w:val="6F852F4D"/>
    <w:rsid w:val="6F8D6E36"/>
    <w:rsid w:val="6F942D9B"/>
    <w:rsid w:val="6F9D176F"/>
    <w:rsid w:val="6F9D4A00"/>
    <w:rsid w:val="6F9D65B5"/>
    <w:rsid w:val="6F9E9ED3"/>
    <w:rsid w:val="6F9FB4DC"/>
    <w:rsid w:val="6FA04DBB"/>
    <w:rsid w:val="6FA24C9A"/>
    <w:rsid w:val="6FAA79E8"/>
    <w:rsid w:val="6FAF8655"/>
    <w:rsid w:val="6FB30B32"/>
    <w:rsid w:val="6FBB43B1"/>
    <w:rsid w:val="6FBC3B8C"/>
    <w:rsid w:val="6FBDD5FE"/>
    <w:rsid w:val="6FBF4468"/>
    <w:rsid w:val="6FD06275"/>
    <w:rsid w:val="6FD7A31A"/>
    <w:rsid w:val="6FDBBDDE"/>
    <w:rsid w:val="6FDE7692"/>
    <w:rsid w:val="6FE7F802"/>
    <w:rsid w:val="6FE80510"/>
    <w:rsid w:val="6FE949B4"/>
    <w:rsid w:val="6FED5B27"/>
    <w:rsid w:val="6FF13869"/>
    <w:rsid w:val="6FFB46E7"/>
    <w:rsid w:val="6FFBD79B"/>
    <w:rsid w:val="6FFC3359"/>
    <w:rsid w:val="6FFEDE50"/>
    <w:rsid w:val="6FFF4412"/>
    <w:rsid w:val="70057314"/>
    <w:rsid w:val="70091BE3"/>
    <w:rsid w:val="701E2184"/>
    <w:rsid w:val="70201EBF"/>
    <w:rsid w:val="70207410"/>
    <w:rsid w:val="70326EB1"/>
    <w:rsid w:val="704952AC"/>
    <w:rsid w:val="70495453"/>
    <w:rsid w:val="704A4D27"/>
    <w:rsid w:val="70502A51"/>
    <w:rsid w:val="7060454A"/>
    <w:rsid w:val="70651B61"/>
    <w:rsid w:val="706643B7"/>
    <w:rsid w:val="70666005"/>
    <w:rsid w:val="70860455"/>
    <w:rsid w:val="708D2434"/>
    <w:rsid w:val="70A367DC"/>
    <w:rsid w:val="70AB0365"/>
    <w:rsid w:val="70B34FC2"/>
    <w:rsid w:val="70B36D70"/>
    <w:rsid w:val="70B56644"/>
    <w:rsid w:val="70BA1EAD"/>
    <w:rsid w:val="70CC398E"/>
    <w:rsid w:val="70D40DD9"/>
    <w:rsid w:val="70DD3DED"/>
    <w:rsid w:val="70E433CD"/>
    <w:rsid w:val="70EC65D0"/>
    <w:rsid w:val="70F058CE"/>
    <w:rsid w:val="70F52EE5"/>
    <w:rsid w:val="70F6219F"/>
    <w:rsid w:val="70F80C27"/>
    <w:rsid w:val="710870BC"/>
    <w:rsid w:val="710E3FA6"/>
    <w:rsid w:val="71193077"/>
    <w:rsid w:val="711B7BED"/>
    <w:rsid w:val="711F61B4"/>
    <w:rsid w:val="713954C7"/>
    <w:rsid w:val="713F23B2"/>
    <w:rsid w:val="71494FDF"/>
    <w:rsid w:val="714F7511"/>
    <w:rsid w:val="71526589"/>
    <w:rsid w:val="7155207D"/>
    <w:rsid w:val="71587595"/>
    <w:rsid w:val="716D6F1F"/>
    <w:rsid w:val="71771B4C"/>
    <w:rsid w:val="718E1C5D"/>
    <w:rsid w:val="719018DC"/>
    <w:rsid w:val="71931A12"/>
    <w:rsid w:val="71970440"/>
    <w:rsid w:val="719D1882"/>
    <w:rsid w:val="71A072F4"/>
    <w:rsid w:val="71A32941"/>
    <w:rsid w:val="71A834B9"/>
    <w:rsid w:val="71A87F57"/>
    <w:rsid w:val="71B20DD6"/>
    <w:rsid w:val="71B27ED2"/>
    <w:rsid w:val="71B40E6D"/>
    <w:rsid w:val="71B45AD8"/>
    <w:rsid w:val="71B927E7"/>
    <w:rsid w:val="71B931DA"/>
    <w:rsid w:val="71BA70CA"/>
    <w:rsid w:val="71BFF779"/>
    <w:rsid w:val="71C31235"/>
    <w:rsid w:val="71C50B09"/>
    <w:rsid w:val="71D2259F"/>
    <w:rsid w:val="71D473EF"/>
    <w:rsid w:val="71D64F10"/>
    <w:rsid w:val="71DB20DB"/>
    <w:rsid w:val="71DD2F17"/>
    <w:rsid w:val="71DE98DF"/>
    <w:rsid w:val="71EA5F99"/>
    <w:rsid w:val="71EFABE1"/>
    <w:rsid w:val="71F15DA2"/>
    <w:rsid w:val="71F37403"/>
    <w:rsid w:val="71F8303F"/>
    <w:rsid w:val="720D24B0"/>
    <w:rsid w:val="72367EA9"/>
    <w:rsid w:val="723932A5"/>
    <w:rsid w:val="72411700"/>
    <w:rsid w:val="724539F8"/>
    <w:rsid w:val="724759C2"/>
    <w:rsid w:val="724B4950"/>
    <w:rsid w:val="724D0AFE"/>
    <w:rsid w:val="724D5BE9"/>
    <w:rsid w:val="72605B7B"/>
    <w:rsid w:val="7272078F"/>
    <w:rsid w:val="727662A7"/>
    <w:rsid w:val="727B566C"/>
    <w:rsid w:val="727EDDA3"/>
    <w:rsid w:val="7285579E"/>
    <w:rsid w:val="72874010"/>
    <w:rsid w:val="729055BB"/>
    <w:rsid w:val="72926B7E"/>
    <w:rsid w:val="729A636D"/>
    <w:rsid w:val="729F57FE"/>
    <w:rsid w:val="729F75AC"/>
    <w:rsid w:val="72A11576"/>
    <w:rsid w:val="72A46970"/>
    <w:rsid w:val="72B172DF"/>
    <w:rsid w:val="72BA43E6"/>
    <w:rsid w:val="72BF2FC2"/>
    <w:rsid w:val="72C4515F"/>
    <w:rsid w:val="72CC5EC7"/>
    <w:rsid w:val="72D27981"/>
    <w:rsid w:val="72D4471C"/>
    <w:rsid w:val="72D51220"/>
    <w:rsid w:val="72D62BD5"/>
    <w:rsid w:val="72DD1E82"/>
    <w:rsid w:val="72DD3274"/>
    <w:rsid w:val="72EC9D7B"/>
    <w:rsid w:val="72F01B4F"/>
    <w:rsid w:val="72F21524"/>
    <w:rsid w:val="72F53670"/>
    <w:rsid w:val="72FE62BE"/>
    <w:rsid w:val="73027B3B"/>
    <w:rsid w:val="73050897"/>
    <w:rsid w:val="73102258"/>
    <w:rsid w:val="73192D77"/>
    <w:rsid w:val="731C406F"/>
    <w:rsid w:val="73221F8B"/>
    <w:rsid w:val="73263109"/>
    <w:rsid w:val="732706F9"/>
    <w:rsid w:val="7329331A"/>
    <w:rsid w:val="732950C8"/>
    <w:rsid w:val="732D2E9A"/>
    <w:rsid w:val="73345EB6"/>
    <w:rsid w:val="7338355D"/>
    <w:rsid w:val="733B98B3"/>
    <w:rsid w:val="73410787"/>
    <w:rsid w:val="734671BA"/>
    <w:rsid w:val="73467A28"/>
    <w:rsid w:val="7347064A"/>
    <w:rsid w:val="734E2D80"/>
    <w:rsid w:val="73555EBD"/>
    <w:rsid w:val="73567B04"/>
    <w:rsid w:val="73611ECC"/>
    <w:rsid w:val="73615CD3"/>
    <w:rsid w:val="73644352"/>
    <w:rsid w:val="736E4F36"/>
    <w:rsid w:val="73700F48"/>
    <w:rsid w:val="737167C1"/>
    <w:rsid w:val="73796C2E"/>
    <w:rsid w:val="737E18B7"/>
    <w:rsid w:val="737F2F3A"/>
    <w:rsid w:val="73816CB2"/>
    <w:rsid w:val="7382670A"/>
    <w:rsid w:val="7384324B"/>
    <w:rsid w:val="738E2DDF"/>
    <w:rsid w:val="738E6510"/>
    <w:rsid w:val="73922C6D"/>
    <w:rsid w:val="73944C37"/>
    <w:rsid w:val="73981633"/>
    <w:rsid w:val="73AE47EA"/>
    <w:rsid w:val="73AFC7A9"/>
    <w:rsid w:val="73BB0416"/>
    <w:rsid w:val="73BE1845"/>
    <w:rsid w:val="73BF77DA"/>
    <w:rsid w:val="73C54EE2"/>
    <w:rsid w:val="73C62520"/>
    <w:rsid w:val="73CB43D1"/>
    <w:rsid w:val="73D25BD2"/>
    <w:rsid w:val="73D416E7"/>
    <w:rsid w:val="73D74B24"/>
    <w:rsid w:val="73DE78B6"/>
    <w:rsid w:val="73E2591C"/>
    <w:rsid w:val="73E3395A"/>
    <w:rsid w:val="73E50A89"/>
    <w:rsid w:val="73E67988"/>
    <w:rsid w:val="73E9412A"/>
    <w:rsid w:val="73EBE9A4"/>
    <w:rsid w:val="73EE5DF4"/>
    <w:rsid w:val="73EF00BF"/>
    <w:rsid w:val="73FC4924"/>
    <w:rsid w:val="73FC921A"/>
    <w:rsid w:val="73FE105D"/>
    <w:rsid w:val="74027162"/>
    <w:rsid w:val="741144D9"/>
    <w:rsid w:val="74122000"/>
    <w:rsid w:val="74220495"/>
    <w:rsid w:val="74262EF6"/>
    <w:rsid w:val="742D382A"/>
    <w:rsid w:val="74317283"/>
    <w:rsid w:val="74392FE2"/>
    <w:rsid w:val="743E02EF"/>
    <w:rsid w:val="744A0D94"/>
    <w:rsid w:val="745C662B"/>
    <w:rsid w:val="745E5245"/>
    <w:rsid w:val="74602D6B"/>
    <w:rsid w:val="74640AAD"/>
    <w:rsid w:val="74647750"/>
    <w:rsid w:val="74686F9A"/>
    <w:rsid w:val="746C7962"/>
    <w:rsid w:val="74890514"/>
    <w:rsid w:val="748E002A"/>
    <w:rsid w:val="74940C67"/>
    <w:rsid w:val="749649DF"/>
    <w:rsid w:val="74A4534E"/>
    <w:rsid w:val="74AC442A"/>
    <w:rsid w:val="74B11819"/>
    <w:rsid w:val="74B144C3"/>
    <w:rsid w:val="74C90910"/>
    <w:rsid w:val="74D14611"/>
    <w:rsid w:val="74D63C4F"/>
    <w:rsid w:val="74DD43BC"/>
    <w:rsid w:val="74DF0134"/>
    <w:rsid w:val="74E300C3"/>
    <w:rsid w:val="74E474F8"/>
    <w:rsid w:val="74E67714"/>
    <w:rsid w:val="74EC0AA3"/>
    <w:rsid w:val="74ECB9D8"/>
    <w:rsid w:val="74F31229"/>
    <w:rsid w:val="74F51705"/>
    <w:rsid w:val="74F64BAC"/>
    <w:rsid w:val="74F7359D"/>
    <w:rsid w:val="74F7A070"/>
    <w:rsid w:val="750E2F18"/>
    <w:rsid w:val="75120509"/>
    <w:rsid w:val="7513602F"/>
    <w:rsid w:val="751637A7"/>
    <w:rsid w:val="75183616"/>
    <w:rsid w:val="751E5594"/>
    <w:rsid w:val="754819F8"/>
    <w:rsid w:val="754E0E15"/>
    <w:rsid w:val="755C1339"/>
    <w:rsid w:val="755C3532"/>
    <w:rsid w:val="755F3023"/>
    <w:rsid w:val="75610B49"/>
    <w:rsid w:val="7561323F"/>
    <w:rsid w:val="75614FED"/>
    <w:rsid w:val="75616D9B"/>
    <w:rsid w:val="75671ED7"/>
    <w:rsid w:val="75720FA8"/>
    <w:rsid w:val="75757ABC"/>
    <w:rsid w:val="75774810"/>
    <w:rsid w:val="757BD35B"/>
    <w:rsid w:val="757C2A48"/>
    <w:rsid w:val="757C3BD5"/>
    <w:rsid w:val="757F1917"/>
    <w:rsid w:val="75846F2D"/>
    <w:rsid w:val="7585250B"/>
    <w:rsid w:val="758E3908"/>
    <w:rsid w:val="75954C96"/>
    <w:rsid w:val="759D5089"/>
    <w:rsid w:val="75AB270C"/>
    <w:rsid w:val="75AF3FAA"/>
    <w:rsid w:val="75AF5163"/>
    <w:rsid w:val="75B07D22"/>
    <w:rsid w:val="75B16ECE"/>
    <w:rsid w:val="75B3511C"/>
    <w:rsid w:val="75B566BE"/>
    <w:rsid w:val="75BD3E87"/>
    <w:rsid w:val="75BE6A70"/>
    <w:rsid w:val="75C5557C"/>
    <w:rsid w:val="75D73501"/>
    <w:rsid w:val="75D8771F"/>
    <w:rsid w:val="75D92DD5"/>
    <w:rsid w:val="75EA3DAB"/>
    <w:rsid w:val="75EB80CE"/>
    <w:rsid w:val="75EC304F"/>
    <w:rsid w:val="75EF43A6"/>
    <w:rsid w:val="75EFA740"/>
    <w:rsid w:val="75FBD995"/>
    <w:rsid w:val="760065B4"/>
    <w:rsid w:val="760342F6"/>
    <w:rsid w:val="76065B94"/>
    <w:rsid w:val="760805F4"/>
    <w:rsid w:val="76085468"/>
    <w:rsid w:val="760C31AA"/>
    <w:rsid w:val="760F67F7"/>
    <w:rsid w:val="761A075F"/>
    <w:rsid w:val="761E630B"/>
    <w:rsid w:val="762A1F0E"/>
    <w:rsid w:val="762D3121"/>
    <w:rsid w:val="76421A7D"/>
    <w:rsid w:val="764C3547"/>
    <w:rsid w:val="76534C8E"/>
    <w:rsid w:val="766A7ED1"/>
    <w:rsid w:val="766C62D7"/>
    <w:rsid w:val="7671300D"/>
    <w:rsid w:val="767955ED"/>
    <w:rsid w:val="767D7C04"/>
    <w:rsid w:val="767F56D7"/>
    <w:rsid w:val="767FF0ED"/>
    <w:rsid w:val="76816FC9"/>
    <w:rsid w:val="76830F93"/>
    <w:rsid w:val="76870A83"/>
    <w:rsid w:val="768A0573"/>
    <w:rsid w:val="76A6AE1B"/>
    <w:rsid w:val="76AF1D88"/>
    <w:rsid w:val="76B31878"/>
    <w:rsid w:val="76CC293A"/>
    <w:rsid w:val="76D26D7E"/>
    <w:rsid w:val="76DB2F9A"/>
    <w:rsid w:val="76DC0905"/>
    <w:rsid w:val="76E16FDF"/>
    <w:rsid w:val="76F44F37"/>
    <w:rsid w:val="76FA2E3A"/>
    <w:rsid w:val="76FD7918"/>
    <w:rsid w:val="76FF7DFC"/>
    <w:rsid w:val="77074DAC"/>
    <w:rsid w:val="770F2826"/>
    <w:rsid w:val="77167988"/>
    <w:rsid w:val="771F6F0D"/>
    <w:rsid w:val="77204A34"/>
    <w:rsid w:val="7722255A"/>
    <w:rsid w:val="7726029C"/>
    <w:rsid w:val="77272894"/>
    <w:rsid w:val="77275EDD"/>
    <w:rsid w:val="772D7E77"/>
    <w:rsid w:val="772E72D2"/>
    <w:rsid w:val="77324E93"/>
    <w:rsid w:val="77341FB9"/>
    <w:rsid w:val="7734249D"/>
    <w:rsid w:val="77369D6F"/>
    <w:rsid w:val="773B5DC1"/>
    <w:rsid w:val="773C7ABF"/>
    <w:rsid w:val="773FB834"/>
    <w:rsid w:val="77420E4E"/>
    <w:rsid w:val="774E334F"/>
    <w:rsid w:val="775E7851"/>
    <w:rsid w:val="775F45E6"/>
    <w:rsid w:val="775F6BE8"/>
    <w:rsid w:val="7762504C"/>
    <w:rsid w:val="776FF1BC"/>
    <w:rsid w:val="77752FD1"/>
    <w:rsid w:val="7779F539"/>
    <w:rsid w:val="77846D70"/>
    <w:rsid w:val="77861F52"/>
    <w:rsid w:val="77882D05"/>
    <w:rsid w:val="778D031B"/>
    <w:rsid w:val="779404C1"/>
    <w:rsid w:val="779A2A38"/>
    <w:rsid w:val="779D6084"/>
    <w:rsid w:val="779DCBA2"/>
    <w:rsid w:val="77AD62C7"/>
    <w:rsid w:val="77B91110"/>
    <w:rsid w:val="77BD19DE"/>
    <w:rsid w:val="77C231F8"/>
    <w:rsid w:val="77C5160C"/>
    <w:rsid w:val="77C7F178"/>
    <w:rsid w:val="77C95BC2"/>
    <w:rsid w:val="77CB0E43"/>
    <w:rsid w:val="77CE4F95"/>
    <w:rsid w:val="77D7C734"/>
    <w:rsid w:val="77D7DB38"/>
    <w:rsid w:val="77DA1086"/>
    <w:rsid w:val="77DD42CE"/>
    <w:rsid w:val="77DD51BC"/>
    <w:rsid w:val="77DF0B65"/>
    <w:rsid w:val="77DF1E35"/>
    <w:rsid w:val="77DF6AD2"/>
    <w:rsid w:val="77DFDD3A"/>
    <w:rsid w:val="77E45A61"/>
    <w:rsid w:val="77E51F05"/>
    <w:rsid w:val="77E616E5"/>
    <w:rsid w:val="77E78C1E"/>
    <w:rsid w:val="77E93077"/>
    <w:rsid w:val="77EAB96E"/>
    <w:rsid w:val="77ECA022"/>
    <w:rsid w:val="77F2017E"/>
    <w:rsid w:val="77F26C21"/>
    <w:rsid w:val="77F31A9C"/>
    <w:rsid w:val="77F3942E"/>
    <w:rsid w:val="77F47B6A"/>
    <w:rsid w:val="77F4AB58"/>
    <w:rsid w:val="77F7C322"/>
    <w:rsid w:val="77FB2B56"/>
    <w:rsid w:val="77FC711D"/>
    <w:rsid w:val="77FC724F"/>
    <w:rsid w:val="77FEDCE1"/>
    <w:rsid w:val="77FF0601"/>
    <w:rsid w:val="77FF6118"/>
    <w:rsid w:val="77FF697C"/>
    <w:rsid w:val="77FF78C6"/>
    <w:rsid w:val="77FFD586"/>
    <w:rsid w:val="77FFF811"/>
    <w:rsid w:val="78132663"/>
    <w:rsid w:val="78146346"/>
    <w:rsid w:val="78175E36"/>
    <w:rsid w:val="78191BAF"/>
    <w:rsid w:val="781A76D5"/>
    <w:rsid w:val="78236589"/>
    <w:rsid w:val="78462278"/>
    <w:rsid w:val="784745AF"/>
    <w:rsid w:val="78500A05"/>
    <w:rsid w:val="785901FD"/>
    <w:rsid w:val="7861391E"/>
    <w:rsid w:val="78623556"/>
    <w:rsid w:val="7866291A"/>
    <w:rsid w:val="78713799"/>
    <w:rsid w:val="7872306D"/>
    <w:rsid w:val="78783618"/>
    <w:rsid w:val="788F00C3"/>
    <w:rsid w:val="788F25F0"/>
    <w:rsid w:val="78933027"/>
    <w:rsid w:val="78951B22"/>
    <w:rsid w:val="78967EE6"/>
    <w:rsid w:val="789D458E"/>
    <w:rsid w:val="78AD4E45"/>
    <w:rsid w:val="78AE246B"/>
    <w:rsid w:val="78AE679B"/>
    <w:rsid w:val="78B22983"/>
    <w:rsid w:val="78B33DB1"/>
    <w:rsid w:val="78BE62B2"/>
    <w:rsid w:val="78C55892"/>
    <w:rsid w:val="78C935D5"/>
    <w:rsid w:val="78CD4648"/>
    <w:rsid w:val="78DA6F15"/>
    <w:rsid w:val="78E026CC"/>
    <w:rsid w:val="78E26444"/>
    <w:rsid w:val="78EE6B97"/>
    <w:rsid w:val="78F246B6"/>
    <w:rsid w:val="78F468F4"/>
    <w:rsid w:val="78F9553C"/>
    <w:rsid w:val="78FA30EC"/>
    <w:rsid w:val="78FC8929"/>
    <w:rsid w:val="78FD7CC5"/>
    <w:rsid w:val="790D4E30"/>
    <w:rsid w:val="790F6B0E"/>
    <w:rsid w:val="79137411"/>
    <w:rsid w:val="791B41A6"/>
    <w:rsid w:val="791E4B07"/>
    <w:rsid w:val="791F601F"/>
    <w:rsid w:val="792A1B99"/>
    <w:rsid w:val="792C3BCE"/>
    <w:rsid w:val="7931117A"/>
    <w:rsid w:val="793B3D30"/>
    <w:rsid w:val="793F8FBB"/>
    <w:rsid w:val="79421473"/>
    <w:rsid w:val="79450F83"/>
    <w:rsid w:val="79515378"/>
    <w:rsid w:val="795517D9"/>
    <w:rsid w:val="795A247F"/>
    <w:rsid w:val="795F4A3B"/>
    <w:rsid w:val="79620369"/>
    <w:rsid w:val="79681DB5"/>
    <w:rsid w:val="796B643A"/>
    <w:rsid w:val="79782905"/>
    <w:rsid w:val="79786DA9"/>
    <w:rsid w:val="79943880"/>
    <w:rsid w:val="799E745E"/>
    <w:rsid w:val="799F7E92"/>
    <w:rsid w:val="79A129D5"/>
    <w:rsid w:val="79A27982"/>
    <w:rsid w:val="79A66E1C"/>
    <w:rsid w:val="79AC0800"/>
    <w:rsid w:val="79B349BD"/>
    <w:rsid w:val="79C97604"/>
    <w:rsid w:val="79D27FA4"/>
    <w:rsid w:val="79E96DB7"/>
    <w:rsid w:val="79EB4F94"/>
    <w:rsid w:val="79F109E5"/>
    <w:rsid w:val="79F41E6D"/>
    <w:rsid w:val="79FF03B2"/>
    <w:rsid w:val="7A04063C"/>
    <w:rsid w:val="7A073509"/>
    <w:rsid w:val="7A143B6A"/>
    <w:rsid w:val="7A1524D6"/>
    <w:rsid w:val="7A19416C"/>
    <w:rsid w:val="7A1E525A"/>
    <w:rsid w:val="7A2465E9"/>
    <w:rsid w:val="7A277378"/>
    <w:rsid w:val="7A2F0718"/>
    <w:rsid w:val="7A342CD0"/>
    <w:rsid w:val="7A3525A4"/>
    <w:rsid w:val="7A392094"/>
    <w:rsid w:val="7A410F49"/>
    <w:rsid w:val="7A44160A"/>
    <w:rsid w:val="7A4A45DD"/>
    <w:rsid w:val="7A4B626B"/>
    <w:rsid w:val="7A4F18B8"/>
    <w:rsid w:val="7A622A67"/>
    <w:rsid w:val="7A6D61E2"/>
    <w:rsid w:val="7A721205"/>
    <w:rsid w:val="7A804167"/>
    <w:rsid w:val="7A82098B"/>
    <w:rsid w:val="7A8F6158"/>
    <w:rsid w:val="7A9E45ED"/>
    <w:rsid w:val="7A9F3104"/>
    <w:rsid w:val="7AA05C40"/>
    <w:rsid w:val="7AAB317C"/>
    <w:rsid w:val="7AB72AB6"/>
    <w:rsid w:val="7ABF2C70"/>
    <w:rsid w:val="7AC04563"/>
    <w:rsid w:val="7ACF4FA4"/>
    <w:rsid w:val="7AD4000F"/>
    <w:rsid w:val="7AD75E97"/>
    <w:rsid w:val="7AE55D78"/>
    <w:rsid w:val="7AED6D19"/>
    <w:rsid w:val="7AED78E0"/>
    <w:rsid w:val="7AEF309B"/>
    <w:rsid w:val="7AEF9BDA"/>
    <w:rsid w:val="7AFC51D8"/>
    <w:rsid w:val="7AFD1BFB"/>
    <w:rsid w:val="7AFE6E5C"/>
    <w:rsid w:val="7AFF8D27"/>
    <w:rsid w:val="7AFFDEEA"/>
    <w:rsid w:val="7B000E04"/>
    <w:rsid w:val="7B007056"/>
    <w:rsid w:val="7B02692A"/>
    <w:rsid w:val="7B053878"/>
    <w:rsid w:val="7B073F40"/>
    <w:rsid w:val="7B0C77A9"/>
    <w:rsid w:val="7B14727D"/>
    <w:rsid w:val="7B1744C1"/>
    <w:rsid w:val="7B18113E"/>
    <w:rsid w:val="7B18614D"/>
    <w:rsid w:val="7B29461C"/>
    <w:rsid w:val="7B2A5E81"/>
    <w:rsid w:val="7B347D2D"/>
    <w:rsid w:val="7B3711FE"/>
    <w:rsid w:val="7B3C0CF9"/>
    <w:rsid w:val="7B4056A4"/>
    <w:rsid w:val="7B407452"/>
    <w:rsid w:val="7B42141C"/>
    <w:rsid w:val="7B486307"/>
    <w:rsid w:val="7B4F3A95"/>
    <w:rsid w:val="7B4F6B7B"/>
    <w:rsid w:val="7B524CFC"/>
    <w:rsid w:val="7B55322B"/>
    <w:rsid w:val="7B5C60F0"/>
    <w:rsid w:val="7B5D0004"/>
    <w:rsid w:val="7B5EFCE2"/>
    <w:rsid w:val="7B7D7981"/>
    <w:rsid w:val="7B863FB8"/>
    <w:rsid w:val="7B89704B"/>
    <w:rsid w:val="7B8F3D44"/>
    <w:rsid w:val="7B99ECF3"/>
    <w:rsid w:val="7BA619AB"/>
    <w:rsid w:val="7BAE260E"/>
    <w:rsid w:val="7BB10350"/>
    <w:rsid w:val="7BBBA913"/>
    <w:rsid w:val="7BBBBFA3"/>
    <w:rsid w:val="7BC30F2B"/>
    <w:rsid w:val="7BC4702A"/>
    <w:rsid w:val="7BC6204D"/>
    <w:rsid w:val="7BD5DA7D"/>
    <w:rsid w:val="7BD61BD9"/>
    <w:rsid w:val="7BDC361F"/>
    <w:rsid w:val="7BE6624C"/>
    <w:rsid w:val="7BE7376B"/>
    <w:rsid w:val="7BE7B810"/>
    <w:rsid w:val="7BED711A"/>
    <w:rsid w:val="7BF2699E"/>
    <w:rsid w:val="7BF53627"/>
    <w:rsid w:val="7BF59B22"/>
    <w:rsid w:val="7BFC50FE"/>
    <w:rsid w:val="7BFC5A70"/>
    <w:rsid w:val="7BFD0D98"/>
    <w:rsid w:val="7BFD2CA6"/>
    <w:rsid w:val="7BFDDE15"/>
    <w:rsid w:val="7BFE664F"/>
    <w:rsid w:val="7BFEE071"/>
    <w:rsid w:val="7BFF0DAB"/>
    <w:rsid w:val="7BFF13D4"/>
    <w:rsid w:val="7BFF75F9"/>
    <w:rsid w:val="7C05217B"/>
    <w:rsid w:val="7C120DEF"/>
    <w:rsid w:val="7C142300"/>
    <w:rsid w:val="7C143C39"/>
    <w:rsid w:val="7C197ED4"/>
    <w:rsid w:val="7C1C1C6D"/>
    <w:rsid w:val="7C1C7EBF"/>
    <w:rsid w:val="7C1DB8B0"/>
    <w:rsid w:val="7C417926"/>
    <w:rsid w:val="7C4371FA"/>
    <w:rsid w:val="7C491A24"/>
    <w:rsid w:val="7C4A67DB"/>
    <w:rsid w:val="7C5F9B74"/>
    <w:rsid w:val="7C7E5711"/>
    <w:rsid w:val="7C7E9CC5"/>
    <w:rsid w:val="7C872056"/>
    <w:rsid w:val="7C8F0691"/>
    <w:rsid w:val="7C8F243F"/>
    <w:rsid w:val="7C943EFA"/>
    <w:rsid w:val="7CA103C5"/>
    <w:rsid w:val="7CAD4FBB"/>
    <w:rsid w:val="7CC55E61"/>
    <w:rsid w:val="7CCD4CCD"/>
    <w:rsid w:val="7CCE5A9F"/>
    <w:rsid w:val="7CDEF459"/>
    <w:rsid w:val="7CE04A49"/>
    <w:rsid w:val="7CE0713F"/>
    <w:rsid w:val="7CE0D80D"/>
    <w:rsid w:val="7CEA1D6C"/>
    <w:rsid w:val="7CF70F87"/>
    <w:rsid w:val="7CFA50A3"/>
    <w:rsid w:val="7CFB8243"/>
    <w:rsid w:val="7CFD74E4"/>
    <w:rsid w:val="7CFE09FB"/>
    <w:rsid w:val="7D012C11"/>
    <w:rsid w:val="7D1969C8"/>
    <w:rsid w:val="7D1A35D8"/>
    <w:rsid w:val="7D1F9A4A"/>
    <w:rsid w:val="7D23702C"/>
    <w:rsid w:val="7D256900"/>
    <w:rsid w:val="7D3B6123"/>
    <w:rsid w:val="7D3E1B08"/>
    <w:rsid w:val="7D3E41E5"/>
    <w:rsid w:val="7D423956"/>
    <w:rsid w:val="7D480840"/>
    <w:rsid w:val="7D553689"/>
    <w:rsid w:val="7D5B0573"/>
    <w:rsid w:val="7D6315C9"/>
    <w:rsid w:val="7D67C962"/>
    <w:rsid w:val="7D690EE2"/>
    <w:rsid w:val="7D69AB36"/>
    <w:rsid w:val="7D6C4A3A"/>
    <w:rsid w:val="7D755AD9"/>
    <w:rsid w:val="7D774F8B"/>
    <w:rsid w:val="7D781125"/>
    <w:rsid w:val="7D796C4C"/>
    <w:rsid w:val="7D7C85FA"/>
    <w:rsid w:val="7D851A94"/>
    <w:rsid w:val="7D8D2F7C"/>
    <w:rsid w:val="7D9D0B8C"/>
    <w:rsid w:val="7D9D6DDE"/>
    <w:rsid w:val="7D9F8DC3"/>
    <w:rsid w:val="7DA10C73"/>
    <w:rsid w:val="7DA63F62"/>
    <w:rsid w:val="7DAB14FB"/>
    <w:rsid w:val="7DB58CD6"/>
    <w:rsid w:val="7DB70C40"/>
    <w:rsid w:val="7DBB361E"/>
    <w:rsid w:val="7DC611BF"/>
    <w:rsid w:val="7DCF43C9"/>
    <w:rsid w:val="7DD60D82"/>
    <w:rsid w:val="7DD61554"/>
    <w:rsid w:val="7DDBFCB1"/>
    <w:rsid w:val="7DE44A0D"/>
    <w:rsid w:val="7DEC566F"/>
    <w:rsid w:val="7DEE7639"/>
    <w:rsid w:val="7DEF5D58"/>
    <w:rsid w:val="7DF23EBE"/>
    <w:rsid w:val="7DF3E431"/>
    <w:rsid w:val="7DF61110"/>
    <w:rsid w:val="7DF6C9A4"/>
    <w:rsid w:val="7DF72F2A"/>
    <w:rsid w:val="7DF73642"/>
    <w:rsid w:val="7DF7AFD6"/>
    <w:rsid w:val="7DF8D714"/>
    <w:rsid w:val="7DFA2A32"/>
    <w:rsid w:val="7DFD8E09"/>
    <w:rsid w:val="7DFF4839"/>
    <w:rsid w:val="7E013E23"/>
    <w:rsid w:val="7E085612"/>
    <w:rsid w:val="7E1C040F"/>
    <w:rsid w:val="7E1F3C97"/>
    <w:rsid w:val="7E21356B"/>
    <w:rsid w:val="7E265025"/>
    <w:rsid w:val="7E287508"/>
    <w:rsid w:val="7E2B6198"/>
    <w:rsid w:val="7E2F6A52"/>
    <w:rsid w:val="7E310FD7"/>
    <w:rsid w:val="7E377166"/>
    <w:rsid w:val="7E3B204C"/>
    <w:rsid w:val="7E3E236F"/>
    <w:rsid w:val="7E3FA637"/>
    <w:rsid w:val="7E412766"/>
    <w:rsid w:val="7E490D14"/>
    <w:rsid w:val="7E4A0D41"/>
    <w:rsid w:val="7E4B05E8"/>
    <w:rsid w:val="7E57548E"/>
    <w:rsid w:val="7E5D031B"/>
    <w:rsid w:val="7E6D4A6E"/>
    <w:rsid w:val="7E731738"/>
    <w:rsid w:val="7E73CEE1"/>
    <w:rsid w:val="7E7A711F"/>
    <w:rsid w:val="7E7B96BD"/>
    <w:rsid w:val="7E7E544B"/>
    <w:rsid w:val="7E7F0292"/>
    <w:rsid w:val="7E7F5278"/>
    <w:rsid w:val="7E7F64E4"/>
    <w:rsid w:val="7E8104AE"/>
    <w:rsid w:val="7E8458A8"/>
    <w:rsid w:val="7E877561"/>
    <w:rsid w:val="7E880059"/>
    <w:rsid w:val="7E927FC5"/>
    <w:rsid w:val="7E930192"/>
    <w:rsid w:val="7E939BE2"/>
    <w:rsid w:val="7E97053E"/>
    <w:rsid w:val="7E9C1EDA"/>
    <w:rsid w:val="7E9D8661"/>
    <w:rsid w:val="7EAF6DC9"/>
    <w:rsid w:val="7EB02B41"/>
    <w:rsid w:val="7EB7777C"/>
    <w:rsid w:val="7EB7A750"/>
    <w:rsid w:val="7EB7C8CE"/>
    <w:rsid w:val="7EBE8961"/>
    <w:rsid w:val="7EC00765"/>
    <w:rsid w:val="7ED168A0"/>
    <w:rsid w:val="7ED5F4FA"/>
    <w:rsid w:val="7ED7CFAD"/>
    <w:rsid w:val="7EDB7BBE"/>
    <w:rsid w:val="7EDE5C8C"/>
    <w:rsid w:val="7EDFF93A"/>
    <w:rsid w:val="7EE30820"/>
    <w:rsid w:val="7EEFFC26"/>
    <w:rsid w:val="7EF61FF4"/>
    <w:rsid w:val="7EF96E1D"/>
    <w:rsid w:val="7EFB760C"/>
    <w:rsid w:val="7EFB7B42"/>
    <w:rsid w:val="7EFD4A34"/>
    <w:rsid w:val="7EFD5C13"/>
    <w:rsid w:val="7EFDC075"/>
    <w:rsid w:val="7EFF0CE7"/>
    <w:rsid w:val="7EFFDA1C"/>
    <w:rsid w:val="7F00067E"/>
    <w:rsid w:val="7F0E4302"/>
    <w:rsid w:val="7F174C12"/>
    <w:rsid w:val="7F19434B"/>
    <w:rsid w:val="7F1949D0"/>
    <w:rsid w:val="7F1D12BE"/>
    <w:rsid w:val="7F1F7FBD"/>
    <w:rsid w:val="7F2A28F3"/>
    <w:rsid w:val="7F345520"/>
    <w:rsid w:val="7F3472CE"/>
    <w:rsid w:val="7F361298"/>
    <w:rsid w:val="7F363046"/>
    <w:rsid w:val="7F374C1D"/>
    <w:rsid w:val="7F391E3E"/>
    <w:rsid w:val="7F4865F7"/>
    <w:rsid w:val="7F4D34EC"/>
    <w:rsid w:val="7F531E4A"/>
    <w:rsid w:val="7F5B2AAD"/>
    <w:rsid w:val="7F6A2CF0"/>
    <w:rsid w:val="7F6E11A2"/>
    <w:rsid w:val="7F6F4431"/>
    <w:rsid w:val="7F737A1B"/>
    <w:rsid w:val="7F74EAA5"/>
    <w:rsid w:val="7F77AD23"/>
    <w:rsid w:val="7F77F029"/>
    <w:rsid w:val="7F790043"/>
    <w:rsid w:val="7F797913"/>
    <w:rsid w:val="7F7A1E55"/>
    <w:rsid w:val="7F7D77DC"/>
    <w:rsid w:val="7F7DC02B"/>
    <w:rsid w:val="7F7DF4AB"/>
    <w:rsid w:val="7F7E0C2C"/>
    <w:rsid w:val="7F7E6C02"/>
    <w:rsid w:val="7F7F0FD0"/>
    <w:rsid w:val="7F7F1B3C"/>
    <w:rsid w:val="7F7F5072"/>
    <w:rsid w:val="7F7F65EB"/>
    <w:rsid w:val="7F7FA341"/>
    <w:rsid w:val="7F8244DD"/>
    <w:rsid w:val="7F891DA6"/>
    <w:rsid w:val="7F8BA8E4"/>
    <w:rsid w:val="7F912972"/>
    <w:rsid w:val="7F923FF5"/>
    <w:rsid w:val="7F9700B9"/>
    <w:rsid w:val="7F995383"/>
    <w:rsid w:val="7F9DB8E7"/>
    <w:rsid w:val="7F9EED3C"/>
    <w:rsid w:val="7FA717D8"/>
    <w:rsid w:val="7FA7C44E"/>
    <w:rsid w:val="7FAC155A"/>
    <w:rsid w:val="7FB39751"/>
    <w:rsid w:val="7FB9AC2F"/>
    <w:rsid w:val="7FBB2131"/>
    <w:rsid w:val="7FBB6EFF"/>
    <w:rsid w:val="7FBBF23F"/>
    <w:rsid w:val="7FBC3C5A"/>
    <w:rsid w:val="7FBD54C8"/>
    <w:rsid w:val="7FBDB11F"/>
    <w:rsid w:val="7FBDBF58"/>
    <w:rsid w:val="7FBE898C"/>
    <w:rsid w:val="7FBE92B4"/>
    <w:rsid w:val="7FBF06C9"/>
    <w:rsid w:val="7FBF141D"/>
    <w:rsid w:val="7FBF6D57"/>
    <w:rsid w:val="7FBF93EE"/>
    <w:rsid w:val="7FBF9B00"/>
    <w:rsid w:val="7FC248DA"/>
    <w:rsid w:val="7FC80B2F"/>
    <w:rsid w:val="7FC947F8"/>
    <w:rsid w:val="7FCA0C9B"/>
    <w:rsid w:val="7FCA2FFF"/>
    <w:rsid w:val="7FCB05D7"/>
    <w:rsid w:val="7FCD3209"/>
    <w:rsid w:val="7FD2C270"/>
    <w:rsid w:val="7FD51698"/>
    <w:rsid w:val="7FD5892E"/>
    <w:rsid w:val="7FD9A29F"/>
    <w:rsid w:val="7FDA3F27"/>
    <w:rsid w:val="7FDB42DF"/>
    <w:rsid w:val="7FDD1FAA"/>
    <w:rsid w:val="7FDDA2EC"/>
    <w:rsid w:val="7FDE0B88"/>
    <w:rsid w:val="7FE33FD2"/>
    <w:rsid w:val="7FE3B302"/>
    <w:rsid w:val="7FE69A3D"/>
    <w:rsid w:val="7FE95F9D"/>
    <w:rsid w:val="7FEA3E31"/>
    <w:rsid w:val="7FEA4E5B"/>
    <w:rsid w:val="7FEBDADD"/>
    <w:rsid w:val="7FEF12C0"/>
    <w:rsid w:val="7FEF4DA4"/>
    <w:rsid w:val="7FEF5003"/>
    <w:rsid w:val="7FEF71CD"/>
    <w:rsid w:val="7FEFC050"/>
    <w:rsid w:val="7FEFFCE2"/>
    <w:rsid w:val="7FF15577"/>
    <w:rsid w:val="7FF30F37"/>
    <w:rsid w:val="7FF34BEC"/>
    <w:rsid w:val="7FF4CB0F"/>
    <w:rsid w:val="7FF7185C"/>
    <w:rsid w:val="7FF7360B"/>
    <w:rsid w:val="7FF73789"/>
    <w:rsid w:val="7FF74789"/>
    <w:rsid w:val="7FF83322"/>
    <w:rsid w:val="7FFB1946"/>
    <w:rsid w:val="7FFBD91E"/>
    <w:rsid w:val="7FFC964C"/>
    <w:rsid w:val="7FFE4C3A"/>
    <w:rsid w:val="7FFE9D80"/>
    <w:rsid w:val="7FFF2A65"/>
    <w:rsid w:val="7FFF4852"/>
    <w:rsid w:val="7FFF641F"/>
    <w:rsid w:val="7FFFA12B"/>
    <w:rsid w:val="7FFFB0D0"/>
    <w:rsid w:val="7FFFB493"/>
    <w:rsid w:val="7FFFDC4A"/>
    <w:rsid w:val="7FFFE7CC"/>
    <w:rsid w:val="80B34988"/>
    <w:rsid w:val="80F3255F"/>
    <w:rsid w:val="81FDF153"/>
    <w:rsid w:val="86FE3213"/>
    <w:rsid w:val="877ACEB0"/>
    <w:rsid w:val="8A0F0DA4"/>
    <w:rsid w:val="8D7F4026"/>
    <w:rsid w:val="8EF5F5E1"/>
    <w:rsid w:val="8FBA4E3D"/>
    <w:rsid w:val="8FFECD2A"/>
    <w:rsid w:val="93F9E407"/>
    <w:rsid w:val="957700F0"/>
    <w:rsid w:val="97B718CE"/>
    <w:rsid w:val="97D1C0EF"/>
    <w:rsid w:val="97F79A00"/>
    <w:rsid w:val="97F9057E"/>
    <w:rsid w:val="97FFE1BA"/>
    <w:rsid w:val="99FF9978"/>
    <w:rsid w:val="9AFFE948"/>
    <w:rsid w:val="9BA71731"/>
    <w:rsid w:val="9BCFA21B"/>
    <w:rsid w:val="9BD0A40A"/>
    <w:rsid w:val="9EB686D7"/>
    <w:rsid w:val="9EEE6C14"/>
    <w:rsid w:val="9EF386F6"/>
    <w:rsid w:val="9EF7CEDF"/>
    <w:rsid w:val="9EFB0E21"/>
    <w:rsid w:val="9EFED14F"/>
    <w:rsid w:val="9F7F944A"/>
    <w:rsid w:val="9FD493B2"/>
    <w:rsid w:val="9FDF5755"/>
    <w:rsid w:val="9FE824C7"/>
    <w:rsid w:val="9FF951C2"/>
    <w:rsid w:val="9FFDE204"/>
    <w:rsid w:val="9FFFC6B1"/>
    <w:rsid w:val="9FFFCF48"/>
    <w:rsid w:val="A3BA85CA"/>
    <w:rsid w:val="A3F7ACDC"/>
    <w:rsid w:val="A6AFBC27"/>
    <w:rsid w:val="A7777BD0"/>
    <w:rsid w:val="A77FA028"/>
    <w:rsid w:val="A7ED0788"/>
    <w:rsid w:val="A7FF8F5B"/>
    <w:rsid w:val="A86FA16B"/>
    <w:rsid w:val="A9FBFD12"/>
    <w:rsid w:val="AAEA22C0"/>
    <w:rsid w:val="AAF6E227"/>
    <w:rsid w:val="AAFF6D9A"/>
    <w:rsid w:val="AB679DFE"/>
    <w:rsid w:val="ACD9B73F"/>
    <w:rsid w:val="ACFB061E"/>
    <w:rsid w:val="AD3B24D3"/>
    <w:rsid w:val="ADCB036C"/>
    <w:rsid w:val="ADCD7F35"/>
    <w:rsid w:val="ADD12988"/>
    <w:rsid w:val="ADFF2FF1"/>
    <w:rsid w:val="AE3FCD97"/>
    <w:rsid w:val="AE79E62D"/>
    <w:rsid w:val="AECE8536"/>
    <w:rsid w:val="AEDF63CB"/>
    <w:rsid w:val="AEDFD3C3"/>
    <w:rsid w:val="AF7936FB"/>
    <w:rsid w:val="AF7991CB"/>
    <w:rsid w:val="AF7F401A"/>
    <w:rsid w:val="AF9E3001"/>
    <w:rsid w:val="AFBDE021"/>
    <w:rsid w:val="AFBFEF93"/>
    <w:rsid w:val="AFED8A16"/>
    <w:rsid w:val="AFF49F0B"/>
    <w:rsid w:val="B3772A72"/>
    <w:rsid w:val="B37F5CD9"/>
    <w:rsid w:val="B3C9D4C0"/>
    <w:rsid w:val="B3EC2E83"/>
    <w:rsid w:val="B3EE6472"/>
    <w:rsid w:val="B47D150B"/>
    <w:rsid w:val="B4FBA7E9"/>
    <w:rsid w:val="B5E14B7F"/>
    <w:rsid w:val="B6FF8CBC"/>
    <w:rsid w:val="B71F172D"/>
    <w:rsid w:val="B78C3382"/>
    <w:rsid w:val="B7AF6B0F"/>
    <w:rsid w:val="B7D91754"/>
    <w:rsid w:val="B7DFAC44"/>
    <w:rsid w:val="B7EBC9BD"/>
    <w:rsid w:val="B7EF8CA8"/>
    <w:rsid w:val="B7FC0210"/>
    <w:rsid w:val="B7FF10E3"/>
    <w:rsid w:val="B8E9AB17"/>
    <w:rsid w:val="B9378BB3"/>
    <w:rsid w:val="B93FCD17"/>
    <w:rsid w:val="B97DC31D"/>
    <w:rsid w:val="BA5B9A04"/>
    <w:rsid w:val="BADED495"/>
    <w:rsid w:val="BAE44EBE"/>
    <w:rsid w:val="BB4DE518"/>
    <w:rsid w:val="BB735DCE"/>
    <w:rsid w:val="BBBE8405"/>
    <w:rsid w:val="BBBF4600"/>
    <w:rsid w:val="BBCA3F7B"/>
    <w:rsid w:val="BBD73FE0"/>
    <w:rsid w:val="BBDE6990"/>
    <w:rsid w:val="BBDFA750"/>
    <w:rsid w:val="BBFE4812"/>
    <w:rsid w:val="BBFFB40C"/>
    <w:rsid w:val="BC6BE64C"/>
    <w:rsid w:val="BC95E5CC"/>
    <w:rsid w:val="BCF7F46F"/>
    <w:rsid w:val="BCFD8B0B"/>
    <w:rsid w:val="BD1E8610"/>
    <w:rsid w:val="BD3676C9"/>
    <w:rsid w:val="BD762263"/>
    <w:rsid w:val="BD9D13D3"/>
    <w:rsid w:val="BDAFBA89"/>
    <w:rsid w:val="BDC97AC3"/>
    <w:rsid w:val="BDCCD816"/>
    <w:rsid w:val="BDD3A74D"/>
    <w:rsid w:val="BDD6F7B9"/>
    <w:rsid w:val="BDF6F395"/>
    <w:rsid w:val="BDFAC5B7"/>
    <w:rsid w:val="BE4B1091"/>
    <w:rsid w:val="BE7F7670"/>
    <w:rsid w:val="BEED64A5"/>
    <w:rsid w:val="BEEF34A3"/>
    <w:rsid w:val="BEF701F5"/>
    <w:rsid w:val="BEF98004"/>
    <w:rsid w:val="BEFF4C08"/>
    <w:rsid w:val="BF1FF27F"/>
    <w:rsid w:val="BF58899D"/>
    <w:rsid w:val="BF5B5CF0"/>
    <w:rsid w:val="BF63C2AC"/>
    <w:rsid w:val="BF745D75"/>
    <w:rsid w:val="BF7BBD82"/>
    <w:rsid w:val="BF7F5170"/>
    <w:rsid w:val="BF7F7CDD"/>
    <w:rsid w:val="BF8D505F"/>
    <w:rsid w:val="BF9A70C9"/>
    <w:rsid w:val="BFA90F55"/>
    <w:rsid w:val="BFB5B7D3"/>
    <w:rsid w:val="BFB95136"/>
    <w:rsid w:val="BFBF1382"/>
    <w:rsid w:val="BFBF7D0C"/>
    <w:rsid w:val="BFE77EF7"/>
    <w:rsid w:val="BFEE64FF"/>
    <w:rsid w:val="BFEF31D5"/>
    <w:rsid w:val="BFEFB3F9"/>
    <w:rsid w:val="BFF08A83"/>
    <w:rsid w:val="BFF4CDB3"/>
    <w:rsid w:val="BFF9B61E"/>
    <w:rsid w:val="BFFB6F7D"/>
    <w:rsid w:val="BFFB9C61"/>
    <w:rsid w:val="BFFBD467"/>
    <w:rsid w:val="BFFC5E86"/>
    <w:rsid w:val="BFFD7480"/>
    <w:rsid w:val="BFFE3E2F"/>
    <w:rsid w:val="BFFE8FCC"/>
    <w:rsid w:val="BFFF11B9"/>
    <w:rsid w:val="BFFF458B"/>
    <w:rsid w:val="BFFFDBAE"/>
    <w:rsid w:val="C23B438F"/>
    <w:rsid w:val="C35D5CE5"/>
    <w:rsid w:val="C3FEF18D"/>
    <w:rsid w:val="C7F9C732"/>
    <w:rsid w:val="C81B0359"/>
    <w:rsid w:val="C96AFB41"/>
    <w:rsid w:val="C9ED281A"/>
    <w:rsid w:val="CA7F0F75"/>
    <w:rsid w:val="CADD1552"/>
    <w:rsid w:val="CBEF3D1F"/>
    <w:rsid w:val="CBF6AA50"/>
    <w:rsid w:val="CBFF61C1"/>
    <w:rsid w:val="CC766225"/>
    <w:rsid w:val="CCFB9CF8"/>
    <w:rsid w:val="CE7FCA84"/>
    <w:rsid w:val="CEC3E7E2"/>
    <w:rsid w:val="CEEDDF18"/>
    <w:rsid w:val="CEFB0829"/>
    <w:rsid w:val="CEFD88D9"/>
    <w:rsid w:val="CF3FBEA3"/>
    <w:rsid w:val="CFCB6431"/>
    <w:rsid w:val="CFCEFB27"/>
    <w:rsid w:val="CFF3E16D"/>
    <w:rsid w:val="CFFF3F2C"/>
    <w:rsid w:val="D1ED1A32"/>
    <w:rsid w:val="D24B728E"/>
    <w:rsid w:val="D4DF64B4"/>
    <w:rsid w:val="D57DA725"/>
    <w:rsid w:val="D5DE86C8"/>
    <w:rsid w:val="D5EE211C"/>
    <w:rsid w:val="D6F36874"/>
    <w:rsid w:val="D6FB0175"/>
    <w:rsid w:val="D73BF8D6"/>
    <w:rsid w:val="D77BDC05"/>
    <w:rsid w:val="D7BB6AD9"/>
    <w:rsid w:val="D7BF20A6"/>
    <w:rsid w:val="D7DBA7B2"/>
    <w:rsid w:val="D7E39D9D"/>
    <w:rsid w:val="D7EF1C66"/>
    <w:rsid w:val="D7F56E1E"/>
    <w:rsid w:val="D7FB4B51"/>
    <w:rsid w:val="D7FD11B6"/>
    <w:rsid w:val="D7FF7DC0"/>
    <w:rsid w:val="D8891422"/>
    <w:rsid w:val="D99EA482"/>
    <w:rsid w:val="D9DF42D9"/>
    <w:rsid w:val="D9FE49A3"/>
    <w:rsid w:val="DAB5D632"/>
    <w:rsid w:val="DABF7AE3"/>
    <w:rsid w:val="DB1C126C"/>
    <w:rsid w:val="DB3B8DB9"/>
    <w:rsid w:val="DB69D93F"/>
    <w:rsid w:val="DB95749B"/>
    <w:rsid w:val="DBA7C00E"/>
    <w:rsid w:val="DBBE4F4F"/>
    <w:rsid w:val="DBFDEF6F"/>
    <w:rsid w:val="DBFF04B8"/>
    <w:rsid w:val="DBFF2B86"/>
    <w:rsid w:val="DC2355B8"/>
    <w:rsid w:val="DC2B7C0E"/>
    <w:rsid w:val="DCD479AB"/>
    <w:rsid w:val="DD7F0407"/>
    <w:rsid w:val="DD7F29CF"/>
    <w:rsid w:val="DD7F605A"/>
    <w:rsid w:val="DDB7D9FE"/>
    <w:rsid w:val="DDFF279D"/>
    <w:rsid w:val="DDFFA83F"/>
    <w:rsid w:val="DE7302D3"/>
    <w:rsid w:val="DE7420A2"/>
    <w:rsid w:val="DE9EAA7F"/>
    <w:rsid w:val="DE9F9DA4"/>
    <w:rsid w:val="DEB9561E"/>
    <w:rsid w:val="DEBFD8C6"/>
    <w:rsid w:val="DECD5D27"/>
    <w:rsid w:val="DED381C1"/>
    <w:rsid w:val="DED7C9F8"/>
    <w:rsid w:val="DEEBA87C"/>
    <w:rsid w:val="DEED4903"/>
    <w:rsid w:val="DEFDB1F9"/>
    <w:rsid w:val="DEFFC4F4"/>
    <w:rsid w:val="DEFFECAE"/>
    <w:rsid w:val="DF39EA18"/>
    <w:rsid w:val="DF3E1CE4"/>
    <w:rsid w:val="DF5C5F07"/>
    <w:rsid w:val="DF7F76D1"/>
    <w:rsid w:val="DF8F16E0"/>
    <w:rsid w:val="DFB7DBC1"/>
    <w:rsid w:val="DFBD806A"/>
    <w:rsid w:val="DFBD9587"/>
    <w:rsid w:val="DFBF4970"/>
    <w:rsid w:val="DFCEEA85"/>
    <w:rsid w:val="DFDE9110"/>
    <w:rsid w:val="DFDF55DF"/>
    <w:rsid w:val="DFDF9ED5"/>
    <w:rsid w:val="DFE17673"/>
    <w:rsid w:val="DFE9B730"/>
    <w:rsid w:val="DFEC9303"/>
    <w:rsid w:val="DFEF6BEA"/>
    <w:rsid w:val="DFF51394"/>
    <w:rsid w:val="DFF750C8"/>
    <w:rsid w:val="DFFD2B45"/>
    <w:rsid w:val="DFFD604B"/>
    <w:rsid w:val="DFFDA0B9"/>
    <w:rsid w:val="DFFE6827"/>
    <w:rsid w:val="DFFF51F1"/>
    <w:rsid w:val="DFFFCDB2"/>
    <w:rsid w:val="DFFFD978"/>
    <w:rsid w:val="E04F6DB1"/>
    <w:rsid w:val="E17C21DB"/>
    <w:rsid w:val="E1FDDC24"/>
    <w:rsid w:val="E2BF54C3"/>
    <w:rsid w:val="E2EB6C2F"/>
    <w:rsid w:val="E3BD4349"/>
    <w:rsid w:val="E3BD8E13"/>
    <w:rsid w:val="E3FE0369"/>
    <w:rsid w:val="E57C1EA5"/>
    <w:rsid w:val="E59E7B92"/>
    <w:rsid w:val="E5D97F97"/>
    <w:rsid w:val="E5FDDDEC"/>
    <w:rsid w:val="E69F1A70"/>
    <w:rsid w:val="E7FC9D2C"/>
    <w:rsid w:val="E7FF6342"/>
    <w:rsid w:val="E8F5E418"/>
    <w:rsid w:val="E99FEE4F"/>
    <w:rsid w:val="EA5D3B24"/>
    <w:rsid w:val="EA5DFE18"/>
    <w:rsid w:val="EA7B458C"/>
    <w:rsid w:val="EAEF84BD"/>
    <w:rsid w:val="EAFDE7D7"/>
    <w:rsid w:val="EB595837"/>
    <w:rsid w:val="EB6E3399"/>
    <w:rsid w:val="EB7E8A80"/>
    <w:rsid w:val="EBBF34C1"/>
    <w:rsid w:val="EBCF4675"/>
    <w:rsid w:val="EBDDFC53"/>
    <w:rsid w:val="EBDE01B0"/>
    <w:rsid w:val="EBDF0248"/>
    <w:rsid w:val="EBF32D4C"/>
    <w:rsid w:val="EBFAB685"/>
    <w:rsid w:val="EBFBC180"/>
    <w:rsid w:val="EBFBE577"/>
    <w:rsid w:val="EBFEF34F"/>
    <w:rsid w:val="EBFF761E"/>
    <w:rsid w:val="EC3D627C"/>
    <w:rsid w:val="ECBB817E"/>
    <w:rsid w:val="ECEEE58A"/>
    <w:rsid w:val="ECF5B292"/>
    <w:rsid w:val="ECFEE316"/>
    <w:rsid w:val="ED3F0952"/>
    <w:rsid w:val="ED5F7344"/>
    <w:rsid w:val="ED79B163"/>
    <w:rsid w:val="EDAF27FF"/>
    <w:rsid w:val="EDB28084"/>
    <w:rsid w:val="EDDF57DB"/>
    <w:rsid w:val="EDEAF4BA"/>
    <w:rsid w:val="EDEB267B"/>
    <w:rsid w:val="EDEFC764"/>
    <w:rsid w:val="EDEFF347"/>
    <w:rsid w:val="EDF7E6B6"/>
    <w:rsid w:val="EE6EDEB3"/>
    <w:rsid w:val="EE7BAFDB"/>
    <w:rsid w:val="EEBFFF4F"/>
    <w:rsid w:val="EECFA532"/>
    <w:rsid w:val="EECFD999"/>
    <w:rsid w:val="EEDF9FAF"/>
    <w:rsid w:val="EEE74E2B"/>
    <w:rsid w:val="EEF47455"/>
    <w:rsid w:val="EEFF4C4F"/>
    <w:rsid w:val="EF16BA58"/>
    <w:rsid w:val="EF3D63C7"/>
    <w:rsid w:val="EF7C4BC9"/>
    <w:rsid w:val="EFAF480F"/>
    <w:rsid w:val="EFB77B64"/>
    <w:rsid w:val="EFBDD7B8"/>
    <w:rsid w:val="EFBF4910"/>
    <w:rsid w:val="EFC7D6A1"/>
    <w:rsid w:val="EFDE9529"/>
    <w:rsid w:val="EFDF7468"/>
    <w:rsid w:val="EFDFA0BD"/>
    <w:rsid w:val="EFDFE7C3"/>
    <w:rsid w:val="EFE8EB9A"/>
    <w:rsid w:val="EFEF244F"/>
    <w:rsid w:val="EFF53EA1"/>
    <w:rsid w:val="EFF76B2D"/>
    <w:rsid w:val="EFF788A6"/>
    <w:rsid w:val="EFFEEA85"/>
    <w:rsid w:val="EFFF2B36"/>
    <w:rsid w:val="EFFFB27A"/>
    <w:rsid w:val="F0FFEC6C"/>
    <w:rsid w:val="F13EE79F"/>
    <w:rsid w:val="F177533C"/>
    <w:rsid w:val="F2F1E06B"/>
    <w:rsid w:val="F383DF1C"/>
    <w:rsid w:val="F3E9DB2D"/>
    <w:rsid w:val="F3F9A65C"/>
    <w:rsid w:val="F3FDEEE3"/>
    <w:rsid w:val="F3FE8609"/>
    <w:rsid w:val="F3FEEB33"/>
    <w:rsid w:val="F4738346"/>
    <w:rsid w:val="F5EEAEC4"/>
    <w:rsid w:val="F5F40F0F"/>
    <w:rsid w:val="F5FD241B"/>
    <w:rsid w:val="F5FDC126"/>
    <w:rsid w:val="F5FF3C9E"/>
    <w:rsid w:val="F63F1434"/>
    <w:rsid w:val="F6675540"/>
    <w:rsid w:val="F66B1679"/>
    <w:rsid w:val="F67B02BF"/>
    <w:rsid w:val="F6A7C484"/>
    <w:rsid w:val="F6BDD67C"/>
    <w:rsid w:val="F6C544C1"/>
    <w:rsid w:val="F6D9DEBA"/>
    <w:rsid w:val="F6E21D7C"/>
    <w:rsid w:val="F6EFB379"/>
    <w:rsid w:val="F6FB1DD6"/>
    <w:rsid w:val="F6FF83E3"/>
    <w:rsid w:val="F717CE4F"/>
    <w:rsid w:val="F71F649E"/>
    <w:rsid w:val="F72F0BE4"/>
    <w:rsid w:val="F73B0A30"/>
    <w:rsid w:val="F75CE0F4"/>
    <w:rsid w:val="F75DCB30"/>
    <w:rsid w:val="F76EAE40"/>
    <w:rsid w:val="F7795334"/>
    <w:rsid w:val="F782D406"/>
    <w:rsid w:val="F79E118B"/>
    <w:rsid w:val="F7B6F4C1"/>
    <w:rsid w:val="F7B70A63"/>
    <w:rsid w:val="F7C0C986"/>
    <w:rsid w:val="F7C3717F"/>
    <w:rsid w:val="F7C7C025"/>
    <w:rsid w:val="F7D7B73C"/>
    <w:rsid w:val="F7E7E361"/>
    <w:rsid w:val="F7EF79FB"/>
    <w:rsid w:val="F7F2AF73"/>
    <w:rsid w:val="F7F79B8B"/>
    <w:rsid w:val="F7FB0B3C"/>
    <w:rsid w:val="F7FC0181"/>
    <w:rsid w:val="F7FC5EF6"/>
    <w:rsid w:val="F7FCCE4C"/>
    <w:rsid w:val="F7FD9EC8"/>
    <w:rsid w:val="F7FFB838"/>
    <w:rsid w:val="F85FBC6A"/>
    <w:rsid w:val="F8E9A898"/>
    <w:rsid w:val="F8FF660F"/>
    <w:rsid w:val="F929AFA6"/>
    <w:rsid w:val="F9BF948C"/>
    <w:rsid w:val="F9BF9AAD"/>
    <w:rsid w:val="F9DE345C"/>
    <w:rsid w:val="F9F7713D"/>
    <w:rsid w:val="F9FBA553"/>
    <w:rsid w:val="F9FFC37B"/>
    <w:rsid w:val="FA3F6685"/>
    <w:rsid w:val="FA5A7CF8"/>
    <w:rsid w:val="FAAF945B"/>
    <w:rsid w:val="FAB5BED9"/>
    <w:rsid w:val="FACC715A"/>
    <w:rsid w:val="FAD68B4E"/>
    <w:rsid w:val="FAD9FB17"/>
    <w:rsid w:val="FAF973B3"/>
    <w:rsid w:val="FAFD2816"/>
    <w:rsid w:val="FAFFC3A4"/>
    <w:rsid w:val="FB5DB472"/>
    <w:rsid w:val="FB6E749F"/>
    <w:rsid w:val="FB7A6F10"/>
    <w:rsid w:val="FB7BA272"/>
    <w:rsid w:val="FB7CAB40"/>
    <w:rsid w:val="FB7F9F79"/>
    <w:rsid w:val="FB939F64"/>
    <w:rsid w:val="FBB5C178"/>
    <w:rsid w:val="FBBFD10D"/>
    <w:rsid w:val="FBD54C66"/>
    <w:rsid w:val="FBDD62F5"/>
    <w:rsid w:val="FBDF90EA"/>
    <w:rsid w:val="FBE71E14"/>
    <w:rsid w:val="FBE9ECC2"/>
    <w:rsid w:val="FBEFADAA"/>
    <w:rsid w:val="FBF7A853"/>
    <w:rsid w:val="FBFA4975"/>
    <w:rsid w:val="FBFF2473"/>
    <w:rsid w:val="FBFF8E4D"/>
    <w:rsid w:val="FBFFC8FE"/>
    <w:rsid w:val="FC75C045"/>
    <w:rsid w:val="FC7A2D1C"/>
    <w:rsid w:val="FCBF51CE"/>
    <w:rsid w:val="FCE51CD8"/>
    <w:rsid w:val="FCFA00C1"/>
    <w:rsid w:val="FCFFB384"/>
    <w:rsid w:val="FD2BEEFC"/>
    <w:rsid w:val="FD7EF6CF"/>
    <w:rsid w:val="FD9FD943"/>
    <w:rsid w:val="FDA8D7FC"/>
    <w:rsid w:val="FDB3FBE9"/>
    <w:rsid w:val="FDBE2B74"/>
    <w:rsid w:val="FDD6A92C"/>
    <w:rsid w:val="FDD74A21"/>
    <w:rsid w:val="FDDB0C27"/>
    <w:rsid w:val="FDDC5990"/>
    <w:rsid w:val="FDDF6AA3"/>
    <w:rsid w:val="FDE73F7E"/>
    <w:rsid w:val="FDE74171"/>
    <w:rsid w:val="FDF324EE"/>
    <w:rsid w:val="FDF483C7"/>
    <w:rsid w:val="FDF59B06"/>
    <w:rsid w:val="FDF7ACDD"/>
    <w:rsid w:val="FDFD75B5"/>
    <w:rsid w:val="FDFECB44"/>
    <w:rsid w:val="FDFF9A8A"/>
    <w:rsid w:val="FDFFC9D1"/>
    <w:rsid w:val="FDFFCCCC"/>
    <w:rsid w:val="FDFFF327"/>
    <w:rsid w:val="FE5CB5AB"/>
    <w:rsid w:val="FE672627"/>
    <w:rsid w:val="FE7E743F"/>
    <w:rsid w:val="FE7EC224"/>
    <w:rsid w:val="FE8F8B93"/>
    <w:rsid w:val="FE9D2FC3"/>
    <w:rsid w:val="FEAF9100"/>
    <w:rsid w:val="FEBD197E"/>
    <w:rsid w:val="FEBDB6E6"/>
    <w:rsid w:val="FEBEB690"/>
    <w:rsid w:val="FEBFACFF"/>
    <w:rsid w:val="FEBFE277"/>
    <w:rsid w:val="FECB8D3C"/>
    <w:rsid w:val="FEDF27E3"/>
    <w:rsid w:val="FEE76690"/>
    <w:rsid w:val="FEEF41C0"/>
    <w:rsid w:val="FEEFA53A"/>
    <w:rsid w:val="FEEFAE01"/>
    <w:rsid w:val="FEEFB2E4"/>
    <w:rsid w:val="FEF840D9"/>
    <w:rsid w:val="FEF9F6A8"/>
    <w:rsid w:val="FEFD1F89"/>
    <w:rsid w:val="FEFE0060"/>
    <w:rsid w:val="FEFF6A24"/>
    <w:rsid w:val="FEFF767F"/>
    <w:rsid w:val="FF0F6D4C"/>
    <w:rsid w:val="FF27E003"/>
    <w:rsid w:val="FF2E50A9"/>
    <w:rsid w:val="FF37B8EF"/>
    <w:rsid w:val="FF37F173"/>
    <w:rsid w:val="FF3BA98E"/>
    <w:rsid w:val="FF3D9E60"/>
    <w:rsid w:val="FF3DEDA9"/>
    <w:rsid w:val="FF55F784"/>
    <w:rsid w:val="FF672A34"/>
    <w:rsid w:val="FF6E6881"/>
    <w:rsid w:val="FF6F5650"/>
    <w:rsid w:val="FF6F7D86"/>
    <w:rsid w:val="FF6FB2C1"/>
    <w:rsid w:val="FF6FB3DE"/>
    <w:rsid w:val="FF6FD94A"/>
    <w:rsid w:val="FF771A29"/>
    <w:rsid w:val="FF78A6B8"/>
    <w:rsid w:val="FF7B7C8F"/>
    <w:rsid w:val="FF7B973B"/>
    <w:rsid w:val="FF7BD2ED"/>
    <w:rsid w:val="FF7F7E3C"/>
    <w:rsid w:val="FF7FBE94"/>
    <w:rsid w:val="FF9D8A54"/>
    <w:rsid w:val="FF9E4EE9"/>
    <w:rsid w:val="FF9F1BB0"/>
    <w:rsid w:val="FF9F9897"/>
    <w:rsid w:val="FFA6818B"/>
    <w:rsid w:val="FFAF60BA"/>
    <w:rsid w:val="FFB6C829"/>
    <w:rsid w:val="FFB7DD5F"/>
    <w:rsid w:val="FFB9F258"/>
    <w:rsid w:val="FFBAECF4"/>
    <w:rsid w:val="FFBBCF25"/>
    <w:rsid w:val="FFBD7899"/>
    <w:rsid w:val="FFBD79C2"/>
    <w:rsid w:val="FFBF2069"/>
    <w:rsid w:val="FFBFA84F"/>
    <w:rsid w:val="FFBFDF91"/>
    <w:rsid w:val="FFDB33E7"/>
    <w:rsid w:val="FFDBA8B7"/>
    <w:rsid w:val="FFDD23F5"/>
    <w:rsid w:val="FFDF227E"/>
    <w:rsid w:val="FFDF57B4"/>
    <w:rsid w:val="FFE4717D"/>
    <w:rsid w:val="FFE5A6B1"/>
    <w:rsid w:val="FFE9C7F2"/>
    <w:rsid w:val="FFEB5BA8"/>
    <w:rsid w:val="FFEB8C72"/>
    <w:rsid w:val="FFEEC505"/>
    <w:rsid w:val="FFEF41FA"/>
    <w:rsid w:val="FFEF84B2"/>
    <w:rsid w:val="FFEF987F"/>
    <w:rsid w:val="FFF5E0C1"/>
    <w:rsid w:val="FFF72AF3"/>
    <w:rsid w:val="FFF737C7"/>
    <w:rsid w:val="FFF74FEF"/>
    <w:rsid w:val="FFF757F6"/>
    <w:rsid w:val="FFF75A6E"/>
    <w:rsid w:val="FFF75ACE"/>
    <w:rsid w:val="FFF7D81E"/>
    <w:rsid w:val="FFF89B6C"/>
    <w:rsid w:val="FFF8A72A"/>
    <w:rsid w:val="FFFACF58"/>
    <w:rsid w:val="FFFB40D9"/>
    <w:rsid w:val="FFFB4545"/>
    <w:rsid w:val="FFFBA36B"/>
    <w:rsid w:val="FFFBD57F"/>
    <w:rsid w:val="FFFC1014"/>
    <w:rsid w:val="FFFCAE72"/>
    <w:rsid w:val="FFFE8075"/>
    <w:rsid w:val="FFFEBEA9"/>
    <w:rsid w:val="FFFEFDA2"/>
    <w:rsid w:val="FFFF31E8"/>
    <w:rsid w:val="FFFF3D62"/>
    <w:rsid w:val="FFFF4B13"/>
    <w:rsid w:val="FFFF5262"/>
    <w:rsid w:val="FFFFA379"/>
    <w:rsid w:val="FFFFBD86"/>
    <w:rsid w:val="FFFFD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pPr>
    <w:rPr>
      <w:rFonts w:ascii="仿宋_GB2312" w:hAnsi="Times New Roman" w:eastAsia="仿宋_GB2312" w:cs="Times New Roman"/>
      <w:kern w:val="2"/>
      <w:sz w:val="32"/>
      <w:szCs w:val="32"/>
      <w:lang w:val="en-US" w:eastAsia="zh-CN" w:bidi="ar-SA"/>
    </w:rPr>
  </w:style>
  <w:style w:type="paragraph" w:styleId="2">
    <w:name w:val="heading 1"/>
    <w:basedOn w:val="1"/>
    <w:next w:val="1"/>
    <w:link w:val="29"/>
    <w:qFormat/>
    <w:uiPriority w:val="0"/>
    <w:pPr>
      <w:adjustRightInd w:val="0"/>
      <w:snapToGrid w:val="0"/>
      <w:spacing w:before="313" w:beforeLines="100" w:after="313" w:afterLines="100"/>
      <w:ind w:firstLine="0" w:firstLineChars="0"/>
      <w:jc w:val="center"/>
      <w:outlineLvl w:val="0"/>
    </w:pPr>
    <w:rPr>
      <w:rFonts w:eastAsia="黑体"/>
    </w:rPr>
  </w:style>
  <w:style w:type="paragraph" w:styleId="3">
    <w:name w:val="heading 2"/>
    <w:basedOn w:val="1"/>
    <w:next w:val="1"/>
    <w:link w:val="28"/>
    <w:qFormat/>
    <w:uiPriority w:val="0"/>
    <w:pPr>
      <w:tabs>
        <w:tab w:val="left" w:pos="0"/>
      </w:tabs>
      <w:adjustRightInd w:val="0"/>
      <w:snapToGrid w:val="0"/>
      <w:spacing w:before="50" w:beforeLines="50" w:after="50" w:afterLines="50"/>
      <w:ind w:firstLine="0" w:firstLineChars="0"/>
      <w:jc w:val="center"/>
      <w:textAlignment w:val="baseline"/>
      <w:outlineLvl w:val="1"/>
    </w:pPr>
    <w:rPr>
      <w:rFonts w:ascii="仿宋_GB2312" w:hAnsi="仿宋_GB2312" w:eastAsia="楷体"/>
      <w:b/>
      <w:bCs/>
      <w:color w:val="000000" w:themeColor="text1"/>
      <w14:textFill>
        <w14:solidFill>
          <w14:schemeClr w14:val="tx1"/>
        </w14:solidFill>
      </w14:textFill>
    </w:rPr>
  </w:style>
  <w:style w:type="paragraph" w:styleId="4">
    <w:name w:val="heading 3"/>
    <w:basedOn w:val="1"/>
    <w:next w:val="1"/>
    <w:link w:val="34"/>
    <w:qFormat/>
    <w:uiPriority w:val="0"/>
    <w:pPr>
      <w:spacing w:before="50" w:beforeLines="50" w:after="50" w:afterLines="50" w:line="640" w:lineRule="exact"/>
      <w:ind w:firstLine="0" w:firstLineChars="0"/>
      <w:jc w:val="center"/>
      <w:outlineLvl w:val="2"/>
    </w:pPr>
    <w:rPr>
      <w:b/>
      <w:bCs/>
    </w:rPr>
  </w:style>
  <w:style w:type="paragraph" w:styleId="5">
    <w:name w:val="heading 4"/>
    <w:basedOn w:val="1"/>
    <w:next w:val="1"/>
    <w:qFormat/>
    <w:uiPriority w:val="0"/>
    <w:pPr>
      <w:keepNext/>
      <w:keepLines/>
      <w:ind w:hanging="864"/>
      <w:outlineLvl w:val="3"/>
    </w:pPr>
    <w:rPr>
      <w:rFonts w:ascii="Arial" w:hAnsi="Arial"/>
      <w:b/>
      <w:sz w:val="28"/>
    </w:rPr>
  </w:style>
  <w:style w:type="paragraph" w:styleId="6">
    <w:name w:val="heading 5"/>
    <w:basedOn w:val="1"/>
    <w:next w:val="1"/>
    <w:link w:val="33"/>
    <w:qFormat/>
    <w:uiPriority w:val="0"/>
    <w:pPr>
      <w:adjustRightInd w:val="0"/>
      <w:snapToGrid w:val="0"/>
      <w:spacing w:line="360" w:lineRule="auto"/>
      <w:outlineLvl w:val="4"/>
    </w:pPr>
    <w:rPr>
      <w:rFonts w:hint="eastAsia" w:ascii="仿宋" w:hAnsi="仿宋" w:eastAsia="仿宋" w:cs="仿宋"/>
      <w:b/>
      <w:bCs/>
    </w:rPr>
  </w:style>
  <w:style w:type="paragraph" w:styleId="7">
    <w:name w:val="heading 6"/>
    <w:basedOn w:val="1"/>
    <w:next w:val="1"/>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qFormat/>
    <w:uiPriority w:val="0"/>
    <w:pPr>
      <w:keepNext/>
      <w:keepLines/>
      <w:numPr>
        <w:ilvl w:val="6"/>
        <w:numId w:val="1"/>
      </w:numPr>
      <w:spacing w:before="240" w:after="64" w:line="317" w:lineRule="auto"/>
      <w:outlineLvl w:val="6"/>
    </w:pPr>
    <w:rPr>
      <w:b/>
      <w:sz w:val="24"/>
    </w:rPr>
  </w:style>
  <w:style w:type="paragraph" w:styleId="9">
    <w:name w:val="heading 8"/>
    <w:basedOn w:val="1"/>
    <w:next w:val="1"/>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200"/>
    </w:pPr>
  </w:style>
  <w:style w:type="paragraph" w:styleId="12">
    <w:name w:val="annotation text"/>
    <w:basedOn w:val="1"/>
    <w:qFormat/>
    <w:uiPriority w:val="0"/>
    <w:pPr>
      <w:jc w:val="left"/>
    </w:pPr>
  </w:style>
  <w:style w:type="paragraph" w:styleId="13">
    <w:name w:val="Body Text"/>
    <w:basedOn w:val="1"/>
    <w:qFormat/>
    <w:uiPriority w:val="0"/>
    <w:pPr>
      <w:widowControl/>
      <w:spacing w:line="240" w:lineRule="atLeast"/>
      <w:ind w:firstLine="0" w:firstLineChars="0"/>
      <w:jc w:val="left"/>
      <w:textAlignment w:val="center"/>
    </w:pPr>
    <w:rPr>
      <w:rFonts w:ascii="仿宋" w:hAnsi="仿宋" w:eastAsia="仿宋"/>
      <w:color w:val="000000"/>
      <w:kern w:val="0"/>
      <w:sz w:val="22"/>
      <w:szCs w:val="22"/>
    </w:rPr>
  </w:style>
  <w:style w:type="paragraph" w:styleId="14">
    <w:name w:val="Body Text Indent"/>
    <w:basedOn w:val="1"/>
    <w:next w:val="11"/>
    <w:qFormat/>
    <w:uiPriority w:val="0"/>
    <w:pPr>
      <w:spacing w:after="120"/>
      <w:ind w:left="420" w:leftChars="200"/>
    </w:pPr>
  </w:style>
  <w:style w:type="paragraph" w:styleId="15">
    <w:name w:val="toc 3"/>
    <w:basedOn w:val="1"/>
    <w:next w:val="1"/>
    <w:qFormat/>
    <w:uiPriority w:val="0"/>
    <w:pPr>
      <w:spacing w:line="360" w:lineRule="auto"/>
      <w:ind w:firstLine="1920" w:firstLineChars="400"/>
      <w:jc w:val="left"/>
    </w:pPr>
    <w:rPr>
      <w:rFonts w:eastAsia="仿宋"/>
    </w:rPr>
  </w:style>
  <w:style w:type="paragraph" w:styleId="16">
    <w:name w:val="Plain Text"/>
    <w:basedOn w:val="1"/>
    <w:qFormat/>
    <w:uiPriority w:val="0"/>
    <w:rPr>
      <w:rFonts w:ascii="宋体" w:hAnsi="Courier New"/>
    </w:rPr>
  </w:style>
  <w:style w:type="paragraph" w:styleId="17">
    <w:name w:val="Body Text Indent 2"/>
    <w:basedOn w:val="1"/>
    <w:next w:val="1"/>
    <w:qFormat/>
    <w:uiPriority w:val="99"/>
  </w:style>
  <w:style w:type="paragraph" w:styleId="18">
    <w:name w:val="footer"/>
    <w:basedOn w:val="1"/>
    <w:link w:val="44"/>
    <w:qFormat/>
    <w:uiPriority w:val="99"/>
    <w:pPr>
      <w:tabs>
        <w:tab w:val="center" w:pos="4153"/>
        <w:tab w:val="right" w:pos="8306"/>
      </w:tabs>
      <w:snapToGrid w:val="0"/>
      <w:jc w:val="left"/>
    </w:pPr>
    <w:rPr>
      <w:sz w:val="18"/>
    </w:rPr>
  </w:style>
  <w:style w:type="paragraph" w:styleId="19">
    <w:name w:val="header"/>
    <w:basedOn w:val="1"/>
    <w:link w:val="43"/>
    <w:qFormat/>
    <w:uiPriority w:val="0"/>
    <w:pPr>
      <w:tabs>
        <w:tab w:val="center" w:pos="4153"/>
        <w:tab w:val="right" w:pos="8306"/>
      </w:tabs>
      <w:snapToGrid w:val="0"/>
      <w:jc w:val="center"/>
    </w:pPr>
    <w:rPr>
      <w:sz w:val="18"/>
      <w:szCs w:val="18"/>
    </w:rPr>
  </w:style>
  <w:style w:type="paragraph" w:styleId="20">
    <w:name w:val="toc 1"/>
    <w:basedOn w:val="1"/>
    <w:next w:val="1"/>
    <w:qFormat/>
    <w:uiPriority w:val="39"/>
    <w:pPr>
      <w:spacing w:line="360" w:lineRule="auto"/>
      <w:ind w:firstLine="0" w:firstLineChars="0"/>
    </w:pPr>
    <w:rPr>
      <w:rFonts w:eastAsia="黑体" w:cs="仿宋"/>
    </w:rPr>
  </w:style>
  <w:style w:type="paragraph" w:styleId="21">
    <w:name w:val="toc 2"/>
    <w:basedOn w:val="1"/>
    <w:next w:val="1"/>
    <w:qFormat/>
    <w:uiPriority w:val="39"/>
    <w:pPr>
      <w:spacing w:line="360" w:lineRule="auto"/>
      <w:ind w:firstLine="480" w:firstLineChars="100"/>
    </w:pPr>
    <w:rPr>
      <w:rFonts w:eastAsia="楷体"/>
    </w:rPr>
  </w:style>
  <w:style w:type="paragraph" w:styleId="22">
    <w:name w:val="Body Text First Indent 2"/>
    <w:basedOn w:val="14"/>
    <w:next w:val="1"/>
    <w:qFormat/>
    <w:uiPriority w:val="0"/>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rFonts w:cs="Times New Roman"/>
      <w:b/>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标题 2 字符"/>
    <w:link w:val="3"/>
    <w:qFormat/>
    <w:uiPriority w:val="0"/>
    <w:rPr>
      <w:rFonts w:ascii="仿宋_GB2312" w:hAnsi="仿宋_GB2312" w:eastAsia="楷体" w:cs="Times New Roman"/>
      <w:b/>
      <w:bCs/>
      <w:color w:val="000000" w:themeColor="text1"/>
      <w:kern w:val="2"/>
      <w:sz w:val="32"/>
      <w:szCs w:val="32"/>
      <w:lang w:val="en-US" w:eastAsia="zh-CN" w:bidi="ar-SA"/>
      <w14:textFill>
        <w14:solidFill>
          <w14:schemeClr w14:val="tx1"/>
        </w14:solidFill>
      </w14:textFill>
    </w:rPr>
  </w:style>
  <w:style w:type="character" w:customStyle="1" w:styleId="29">
    <w:name w:val="标题 1 字符"/>
    <w:link w:val="2"/>
    <w:qFormat/>
    <w:uiPriority w:val="0"/>
    <w:rPr>
      <w:rFonts w:ascii="Times New Roman" w:hAnsi="Times New Roman" w:eastAsia="黑体" w:cs="Times New Roman"/>
      <w:snapToGrid/>
      <w:kern w:val="2"/>
      <w:sz w:val="32"/>
      <w:szCs w:val="32"/>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3">
    <w:name w:val="标题 5 字符"/>
    <w:link w:val="6"/>
    <w:qFormat/>
    <w:uiPriority w:val="9"/>
    <w:rPr>
      <w:rFonts w:hint="eastAsia" w:ascii="仿宋" w:hAnsi="仿宋" w:eastAsia="仿宋" w:cs="仿宋"/>
      <w:b/>
      <w:bCs/>
      <w:kern w:val="2"/>
      <w:sz w:val="32"/>
      <w:szCs w:val="32"/>
      <w:lang w:val="en-US" w:eastAsia="zh-CN" w:bidi="ar-SA"/>
    </w:rPr>
  </w:style>
  <w:style w:type="character" w:customStyle="1" w:styleId="34">
    <w:name w:val="标题 3 字符"/>
    <w:link w:val="4"/>
    <w:qFormat/>
    <w:uiPriority w:val="9"/>
    <w:rPr>
      <w:rFonts w:ascii="Times New Roman" w:hAnsi="Times New Roman" w:eastAsia="方正仿宋_GB2312" w:cs="Times New Roman"/>
      <w:b/>
      <w:bCs/>
      <w:snapToGrid/>
      <w:color w:val="auto"/>
      <w:kern w:val="2"/>
      <w:sz w:val="32"/>
      <w:szCs w:val="32"/>
      <w:lang w:val="en-US" w:eastAsia="zh-CN" w:bidi="ar-SA"/>
    </w:rPr>
  </w:style>
  <w:style w:type="paragraph" w:customStyle="1" w:styleId="35">
    <w:name w:val="正文-公1"/>
    <w:basedOn w:val="36"/>
    <w:next w:val="1"/>
    <w:qFormat/>
    <w:uiPriority w:val="0"/>
  </w:style>
  <w:style w:type="paragraph" w:customStyle="1" w:styleId="36">
    <w:name w:val="正文 New New New"/>
    <w:next w:val="35"/>
    <w:qFormat/>
    <w:uiPriority w:val="0"/>
    <w:pPr>
      <w:widowControl w:val="0"/>
      <w:jc w:val="both"/>
    </w:pPr>
    <w:rPr>
      <w:rFonts w:ascii="Calibri" w:hAnsi="Calibri" w:eastAsia="宋体" w:cs="Times New Roman"/>
      <w:kern w:val="2"/>
      <w:sz w:val="21"/>
      <w:szCs w:val="24"/>
      <w:lang w:val="en-US" w:eastAsia="zh-CN" w:bidi="ar-SA"/>
    </w:rPr>
  </w:style>
  <w:style w:type="character" w:customStyle="1" w:styleId="37">
    <w:name w:val="font81"/>
    <w:basedOn w:val="25"/>
    <w:qFormat/>
    <w:uiPriority w:val="0"/>
    <w:rPr>
      <w:rFonts w:hint="eastAsia" w:ascii="宋体" w:hAnsi="宋体" w:eastAsia="宋体" w:cs="宋体"/>
      <w:color w:val="000000"/>
      <w:sz w:val="22"/>
      <w:szCs w:val="22"/>
      <w:u w:val="none"/>
    </w:rPr>
  </w:style>
  <w:style w:type="character" w:customStyle="1" w:styleId="38">
    <w:name w:val="font91"/>
    <w:basedOn w:val="25"/>
    <w:qFormat/>
    <w:uiPriority w:val="0"/>
    <w:rPr>
      <w:rFonts w:hint="default" w:ascii="Times New Roman" w:hAnsi="Times New Roman" w:cs="Times New Roman"/>
      <w:color w:val="000000"/>
      <w:sz w:val="22"/>
      <w:szCs w:val="22"/>
      <w:u w:val="none"/>
    </w:rPr>
  </w:style>
  <w:style w:type="character" w:customStyle="1" w:styleId="39">
    <w:name w:val="font31"/>
    <w:basedOn w:val="25"/>
    <w:qFormat/>
    <w:uiPriority w:val="0"/>
    <w:rPr>
      <w:rFonts w:hint="eastAsia" w:ascii="仿宋" w:hAnsi="仿宋" w:eastAsia="仿宋" w:cs="仿宋"/>
      <w:color w:val="000000"/>
      <w:sz w:val="22"/>
      <w:szCs w:val="22"/>
      <w:u w:val="none"/>
    </w:rPr>
  </w:style>
  <w:style w:type="character" w:customStyle="1" w:styleId="40">
    <w:name w:val="font71"/>
    <w:basedOn w:val="25"/>
    <w:qFormat/>
    <w:uiPriority w:val="0"/>
    <w:rPr>
      <w:rFonts w:hint="eastAsia" w:ascii="仿宋" w:hAnsi="仿宋" w:eastAsia="仿宋" w:cs="仿宋"/>
      <w:color w:val="000000"/>
      <w:sz w:val="22"/>
      <w:szCs w:val="22"/>
      <w:u w:val="none"/>
    </w:rPr>
  </w:style>
  <w:style w:type="paragraph" w:customStyle="1" w:styleId="41">
    <w:name w:val="正文 New New New New New"/>
    <w:next w:val="42"/>
    <w:qFormat/>
    <w:uiPriority w:val="0"/>
    <w:pPr>
      <w:widowControl w:val="0"/>
      <w:jc w:val="both"/>
    </w:pPr>
    <w:rPr>
      <w:rFonts w:ascii="Calibri" w:hAnsi="Calibri" w:eastAsia="宋体" w:cs="Times New Roman"/>
      <w:kern w:val="2"/>
      <w:sz w:val="21"/>
      <w:szCs w:val="21"/>
      <w:lang w:val="en-US" w:eastAsia="zh-CN" w:bidi="ar-SA"/>
    </w:rPr>
  </w:style>
  <w:style w:type="paragraph" w:customStyle="1" w:styleId="42">
    <w:name w:val="正文文本 New New New New New"/>
    <w:qFormat/>
    <w:uiPriority w:val="0"/>
    <w:pPr>
      <w:widowControl w:val="0"/>
      <w:spacing w:before="100" w:beforeAutospacing="1" w:after="100" w:afterAutospacing="1"/>
      <w:ind w:left="101"/>
    </w:pPr>
    <w:rPr>
      <w:rFonts w:ascii="方正仿宋_GB2312" w:hAnsi="宋体" w:eastAsia="宋体" w:cs="Times New Roman"/>
      <w:kern w:val="2"/>
      <w:sz w:val="21"/>
      <w:szCs w:val="21"/>
      <w:lang w:val="en-US" w:eastAsia="zh-CN" w:bidi="ar-SA"/>
    </w:rPr>
  </w:style>
  <w:style w:type="character" w:customStyle="1" w:styleId="43">
    <w:name w:val="页眉 字符"/>
    <w:basedOn w:val="25"/>
    <w:link w:val="19"/>
    <w:qFormat/>
    <w:uiPriority w:val="0"/>
    <w:rPr>
      <w:rFonts w:eastAsia="方正仿宋_GB2312"/>
      <w:kern w:val="2"/>
      <w:sz w:val="18"/>
      <w:szCs w:val="18"/>
    </w:rPr>
  </w:style>
  <w:style w:type="character" w:customStyle="1" w:styleId="44">
    <w:name w:val="页脚 字符"/>
    <w:basedOn w:val="25"/>
    <w:link w:val="18"/>
    <w:qFormat/>
    <w:uiPriority w:val="99"/>
    <w:rPr>
      <w:rFonts w:eastAsia="方正仿宋_GB2312"/>
      <w:kern w:val="2"/>
      <w:sz w:val="18"/>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b2fc31d2-42fd-47fa-87c6-538e41b5752e</errorID>
      <errorWord>，</errorWord>
      <group>L1_Word</group>
      <groupName>字词问题</groupName>
      <ability>L2_Typo</ability>
      <abilityName>字词错误</abilityName>
      <candidateList>
        <item>，也</item>
      </candidateList>
      <explain/>
      <paraID>1D4DEB49</paraID>
      <start>47</start>
      <end>48</end>
      <status>ignored</status>
      <modifiedWord/>
      <trackRevisions>false</trackRevisions>
    </reviewItem>
    <reviewItem>
      <errorID>56001772-27bb-4ccd-bb32-0849f74edf5f</errorID>
      <errorWord>蓝天、碧水、黑土保卫战</errorWord>
      <group>L1_Political</group>
      <groupName>政治性问题</groupName>
      <ability>L2_Keyword</ability>
      <abilityName>固定表述</abilityName>
      <candidateList>
        <item>蓝天、碧水、净土保卫战</item>
      </candidateList>
      <explain>词汇“蓝天、碧水、净土保卫战”在特定场景下为固定表述形式，请确认此处的“蓝天、碧水、黑土保卫战”是否存在不当。</explain>
      <paraID>1B38AE40</paraID>
      <start>124</start>
      <end>135</end>
      <status>ignored</status>
      <modifiedWord/>
      <trackRevisions>false</trackRevisions>
    </reviewItem>
    <reviewItem>
      <errorID>5f24626c-b945-4524-9d0d-84dd3d8a051b</errorID>
      <errorWord>县（市）区</errorWord>
      <group>L1_Punc</group>
      <groupName>标点问题</groupName>
      <ability>L2_Punc</ability>
      <abilityName>标点符号检查</abilityName>
      <candidateList>
        <item>县（市、区）</item>
      </candidateList>
      <explain/>
      <paraID>483B9A90</paraID>
      <start>197</start>
      <end>202</end>
      <status>ignored</status>
      <modifiedWord/>
      <trackRevisions>false</trackRevisions>
    </reviewItem>
    <reviewItem>
      <errorID>0c28246a-3b40-4e6d-a73e-c4b47a742b18</errorID>
      <errorWord>活</errorWord>
      <group>L1_Word</group>
      <groupName>字词问题</groupName>
      <ability>L2_Typo</ability>
      <abilityName>字词错误</abilityName>
      <candidateList>
        <item>活性</item>
      </candidateList>
      <explain/>
      <paraID>483B9A90</paraID>
      <start>288</start>
      <end>289</end>
      <status>ignored</status>
      <modifiedWord/>
      <trackRevisions>false</trackRevisions>
    </reviewItem>
    <reviewItem>
      <errorID>9de96392-5199-4dae-b484-aade0bb5f7e2</errorID>
      <errorWord>费</errorWord>
      <group>L1_Word</group>
      <groupName>字词问题</groupName>
      <ability>L2_Typo</ability>
      <abilityName>字词错误</abilityName>
      <candidateList>
        <item>费品</item>
      </candidateList>
      <explain/>
      <paraID>5EF1EC9B</paraID>
      <start>107</start>
      <end>108</end>
      <status>ignored</status>
      <modifiedWord/>
      <trackRevisions>false</trackRevisions>
    </reviewItem>
    <reviewItem>
      <errorID>17ce1fc6-4324-454f-860d-78701861170a</errorID>
      <errorWord>治理能效</errorWord>
      <group>L1_Word</group>
      <groupName>字词问题</groupName>
      <ability>L2_Typo</ability>
      <abilityName>字词错误</abilityName>
      <candidateList>
        <item>治理效能</item>
      </candidateList>
      <explain/>
      <paraID>57B8EA04</paraID>
      <start>2</start>
      <end>6</end>
      <status>ignored</status>
      <modifiedWord/>
      <trackRevisions>false</trackRevisions>
    </reviewItem>
    <reviewItem>
      <errorID>1ee9b285-1679-4f39-86dc-ab9345ced149</errorID>
      <errorWord>聚</errorWord>
      <group>L1_Word</group>
      <groupName>字词问题</groupName>
      <ability>L2_Typo</ability>
      <abilityName>字词错误</abilityName>
      <candidateList>
        <item>聚区</item>
      </candidateList>
      <explain/>
      <paraID>  53F67F</paraID>
      <start>23</start>
      <end>24</end>
      <status>ignored</status>
      <modifiedWord/>
      <trackRevisions>false</trackRevisions>
    </reviewItem>
    <reviewItem>
      <errorID>ad298ddf-a913-497c-9290-997b39be0bc4</errorID>
      <errorWord>-</errorWord>
      <group>L1_Format</group>
      <groupName>格式问题</groupName>
      <ability>L2_HalfPunc</ability>
      <abilityName>全半角检查</abilityName>
      <candidateList>
        <item>－</item>
      </candidateList>
      <explain>文本全半角错误。</explain>
      <paraID>45DD68E8</paraID>
      <start>100</start>
      <end>101</end>
      <status>ignored</status>
      <modifiedWord/>
      <trackRevisions>false</trackRevisions>
    </reviewItem>
    <reviewItem>
      <errorID>1d363829-fad3-479f-8933-86222c371336</errorID>
      <errorWord>-</errorWord>
      <group>L1_Format</group>
      <groupName>格式问题</groupName>
      <ability>L2_HalfPunc</ability>
      <abilityName>全半角检查</abilityName>
      <candidateList>
        <item>－</item>
      </candidateList>
      <explain>文本全半角错误。</explain>
      <paraID>45DD68E8</paraID>
      <start>103</start>
      <end>104</end>
      <status>ignored</status>
      <modifiedWord/>
      <trackRevisions>false</trackRevisions>
    </reviewItem>
    <reviewItem>
      <errorID>2bda9ffe-2a3c-4275-8554-ada66861ae23</errorID>
      <errorWord>国际国内双循环</errorWord>
      <group>L1_Political</group>
      <groupName>政治性问题</groupName>
      <ability>L2_Unpolitical</ability>
      <abilityName>政治敏感错误</abilityName>
      <candidateList>
        <item>国内国际双循环</item>
      </candidateList>
      <explain/>
      <paraID>7AA8D49A</paraID>
      <start>23</start>
      <end>30</end>
      <status>ignored</status>
      <modifiedWord/>
      <trackRevisions>false</trackRevisions>
    </reviewItem>
    <reviewItem>
      <errorID>d154657e-7bc0-436c-b336-ba9a4689720e</errorID>
      <errorWord>企业走出去</errorWord>
      <group>L1_Political</group>
      <groupName>政治性问题</groupName>
      <ability>L2_Keyword</ability>
      <abilityName>固定表述</abilityName>
      <candidateList>
        <item>企业“走出去”</item>
      </candidateList>
      <explain>注意检查当前固定表述标点是否使用规范。</explain>
      <paraID>17275017</paraID>
      <start>4</start>
      <end>9</end>
      <status>ignored</status>
      <modifiedWord/>
      <trackRevisions>false</trackRevisions>
    </reviewItem>
    <reviewItem>
      <errorID>0632f36c-c9bc-4c3f-903c-0700d8c7455c</errorID>
      <errorWord>-</errorWord>
      <group>L1_Format</group>
      <groupName>格式问题</groupName>
      <ability>L2_HalfPunc</ability>
      <abilityName>全半角检查</abilityName>
      <candidateList>
        <item>－</item>
      </candidateList>
      <explain>文本全半角错误。</explain>
      <paraID>17275017</paraID>
      <start>87</start>
      <end>88</end>
      <status>ignored</status>
      <modifiedWord/>
      <trackRevisions>false</trackRevisions>
    </reviewItem>
    <reviewItem>
      <errorID>abc297e1-9461-493c-b124-c7a192655b21</errorID>
      <errorWord>-</errorWord>
      <group>L1_Format</group>
      <groupName>格式问题</groupName>
      <ability>L2_HalfPunc</ability>
      <abilityName>全半角检查</abilityName>
      <candidateList>
        <item>－</item>
      </candidateList>
      <explain>文本全半角错误。</explain>
      <paraID>17275017</paraID>
      <start>90</start>
      <end>91</end>
      <status>ignored</status>
      <modifiedWord/>
      <trackRevisions>false</trackRevisions>
    </reviewItem>
    <reviewItem>
      <errorID>1f1f7e66-0abc-4d86-8e16-7095f07dd3fd</errorID>
      <errorWord>创新驱动战略</errorWord>
      <group>L1_Political</group>
      <groupName>政治性问题</groupName>
      <ability>L2_Unpolitical</ability>
      <abilityName>政治敏感错误</abilityName>
      <candidateList>
        <item>创新驱动发展战略</item>
      </candidateList>
      <explain/>
      <paraID>74FEAE75</paraID>
      <start>14</start>
      <end>20</end>
      <status>unmodified</status>
      <modifiedWord/>
      <trackRevisions>false</trackRevisions>
    </reviewItem>
    <reviewItem>
      <errorID>5f555ee7-5b12-47b5-ba60-035abc5ff371</errorID>
      <errorWord>-</errorWord>
      <group>L1_Format</group>
      <groupName>格式问题</groupName>
      <ability>L2_HalfPunc</ability>
      <abilityName>全半角检查</abilityName>
      <candidateList>
        <item>－</item>
      </candidateList>
      <explain>文本全半角错误。</explain>
      <paraID>2F872D42</paraID>
      <start>60</start>
      <end>61</end>
      <status>unmodified</status>
      <modifiedWord/>
      <trackRevisions>false</trackRevisions>
    </reviewItem>
    <reviewItem>
      <errorID>877bbdfa-af41-46d2-aafa-a13350391317</errorID>
      <errorWord>-</errorWord>
      <group>L1_Format</group>
      <groupName>格式问题</groupName>
      <ability>L2_HalfPunc</ability>
      <abilityName>全半角检查</abilityName>
      <candidateList>
        <item>－</item>
      </candidateList>
      <explain>文本全半角错误。</explain>
      <paraID>2F872D42</paraID>
      <start>64</start>
      <end>65</end>
      <status>unmodified</status>
      <modifiedWord/>
      <trackRevisions>false</trackRevisions>
    </reviewItem>
    <reviewItem>
      <errorID>7e5a9281-2431-40cf-814d-c0081c2a54d7</errorID>
      <errorWord>工商业户</errorWord>
      <group>L1_Word</group>
      <groupName>字词问题</groupName>
      <ability>L2_Typo</ability>
      <abilityName>字词错误</abilityName>
      <candidateList>
        <item>工商户</item>
      </candidateList>
      <explain/>
      <paraID>47A0901E</paraID>
      <start>112</start>
      <end>116</end>
      <status>unmodified</status>
      <modifiedWord/>
      <trackRevisions>false</trackRevisions>
    </reviewItem>
    <reviewItem>
      <errorID>5e7d133f-b5db-485a-8ab3-fd4fad52e743</errorID>
      <errorWord>-</errorWord>
      <group>L1_Format</group>
      <groupName>格式问题</groupName>
      <ability>L2_HalfPunc</ability>
      <abilityName>全半角检查</abilityName>
      <candidateList>
        <item>－</item>
      </candidateList>
      <explain>文本全半角错误。</explain>
      <paraID>73DB7479</paraID>
      <start>36</start>
      <end>37</end>
      <status>unmodified</status>
      <modifiedWord/>
      <trackRevisions>false</trackRevisions>
    </reviewItem>
    <reviewItem>
      <errorID>63986375-46ed-4df5-bf3f-46c5c003cf40</errorID>
      <errorWord>-</errorWord>
      <group>L1_Format</group>
      <groupName>格式问题</groupName>
      <ability>L2_HalfPunc</ability>
      <abilityName>全半角检查</abilityName>
      <candidateList>
        <item>－</item>
      </candidateList>
      <explain>文本全半角错误。</explain>
      <paraID>73DB7479</paraID>
      <start>39</start>
      <end>40</end>
      <status>unmodified</status>
      <modifiedWord/>
      <trackRevisions>false</trackRevisions>
    </reviewItem>
    <reviewItem>
      <errorID>abb67991-7a45-47ec-a238-ebea97995d81</errorID>
      <errorWord>坚持“人民城市人民建、人民城市为人民”</errorWord>
      <group>L1_Political</group>
      <groupName>政治性问题</groupName>
      <ability>L2_Keyword</ability>
      <abilityName>固定表述</abilityName>
      <candidateList>
        <item>坚持人民城市人民建、人民城市为人民</item>
      </candidateList>
      <explain>注意检查当前固定表述标点是否使用规范。</explain>
      <paraID>5121F935</paraID>
      <start>0</start>
      <end>19</end>
      <status>unmodified</status>
      <modifiedWord/>
      <trackRevisions>false</trackRevisions>
    </reviewItem>
    <reviewItem>
      <errorID>b32ef7c7-536d-495c-ac23-366c64e20d78</errorID>
      <errorWord>城乡结合部</errorWord>
      <group>L1_Knowledge</group>
      <groupName>知识性问题</groupName>
      <ability>L2_Knowledge</ability>
      <abilityName>其他知识</abilityName>
      <candidateList>
        <item>城乡接合部</item>
      </candidateList>
      <explain/>
      <paraID>  741B1E</paraID>
      <start>80</start>
      <end>85</end>
      <status>unmodified</status>
      <modifiedWord/>
      <trackRevisions>false</trackRevisions>
    </reviewItem>
    <reviewItem>
      <errorID>f3913f01-1204-4164-878e-9b39f7f7ecd1</errorID>
      <errorWord>噪音</errorWord>
      <group>L1_Word</group>
      <groupName>字词问题</groupName>
      <ability>L2_Alias</ability>
      <abilityName>也作/曾用词</abilityName>
      <candidateList>
        <item>噪声</item>
      </candidateList>
      <explain>词汇[噪音]为不规范表述或旧称，其规范书面表述为[噪声]。</explain>
      <paraID>5A2FA610</paraID>
      <start>2</start>
      <end>4</end>
      <status>unmodified</status>
      <modifiedWord/>
      <trackRevisions>false</trackRevisions>
    </reviewItem>
    <reviewItem>
      <errorID>6b31bb57-cdf7-4c51-b887-453c09793b56</errorID>
      <errorWord>文化展廊</errorWord>
      <group>L1_Word</group>
      <groupName>字词问题</groupName>
      <ability>L2_Typo</ability>
      <abilityName>字词错误</abilityName>
      <candidateList>
        <item>文化长廊</item>
      </candidateList>
      <explain>存在发音相近字词的误用。</explain>
      <paraID>76BA823B</paraID>
      <start>98</start>
      <end>102</end>
      <status>unmodified</status>
      <modifiedWord/>
      <trackRevisions>false</trackRevisions>
    </reviewItem>
    <reviewItem>
      <errorID>5a6a4e0a-d35a-4766-8cee-232b525641b0</errorID>
      <errorWord>水带</errorWord>
      <group>L1_Word</group>
      <groupName>字词问题</groupName>
      <ability>L2_Typo</ability>
      <abilityName>字词错误</abilityName>
      <candidateList>
        <item>湿地</item>
      </candidateList>
      <explain/>
      <paraID>1017E35F</paraID>
      <start>65</start>
      <end>67</end>
      <status>unmodified</status>
      <modifiedWord/>
      <trackRevisions>false</trackRevisions>
    </reviewItem>
    <reviewItem>
      <errorID>b8523b20-64c4-42b9-b546-9318486aff38</errorID>
      <errorWord>，</errorWord>
      <group>L1_Word</group>
      <groupName>字词问题</groupName>
      <ability>L2_Typo</ability>
      <abilityName>字词错误</abilityName>
      <candidateList>
        <item>，以</item>
      </candidateList>
      <explain/>
      <paraID>1017E35F</paraID>
      <start>88</start>
      <end>89</end>
      <status>unmodified</status>
      <modifiedWord/>
      <trackRevisions>false</trackRevisions>
    </reviewItem>
    <reviewItem>
      <errorID>01ab2cda-23f3-4d26-8728-3c04c6323e55</errorID>
      <errorWord>等再生能源</errorWord>
      <group>L1_Knowledge</group>
      <groupName>知识性问题</groupName>
      <ability>L2_Knowledge</ability>
      <abilityName>其他知识</abilityName>
      <candidateList>
        <item>等可再生能源</item>
      </candidateList>
      <explain/>
      <paraID>1F377C51</paraID>
      <start>29</start>
      <end>34</end>
      <status>unmodified</status>
      <modifiedWord/>
      <trackRevisions>false</trackRevisions>
    </reviewItem>
    <reviewItem>
      <errorID>964468fd-1e35-4d6f-8653-10dc6ad23d70</errorID>
      <errorWord>紧密型医共体建设</errorWord>
      <group>L1_Political</group>
      <groupName>政治性问题</groupName>
      <ability>L2_Keyword</ability>
      <abilityName>固定表述</abilityName>
      <candidateList>
        <item>紧密型县域医共体建设</item>
      </candidateList>
      <explain>词汇“紧密型县域医共体建设”在特定场景下为固定表述形式，请确认此处的“紧密型医共体建设”是否存在不当。</explain>
      <paraID> 7F25DA4</paraID>
      <start>61</start>
      <end>69</end>
      <status>unmodified</status>
      <modifiedWord/>
      <trackRevisions>false</trackRevisions>
    </reviewItem>
    <reviewItem>
      <errorID>c4bbcf35-dde8-40c0-804a-8116a4ccd624</errorID>
      <errorWord>推动公共事业全面发展</errorWord>
      <group>L1_Political</group>
      <groupName>政治性问题</groupName>
      <ability>L2_Keyword</ability>
      <abilityName>固定表述</abilityName>
      <candidateList>
        <item>推动人权事业全面发展</item>
      </candidateList>
      <explain>词汇“推动人权事业全面发展”在特定场景下为固定表述形式，请确认此处的“推动公共事业全面发展”是否存在不当。</explain>
      <paraID>197430AD</paraID>
      <start>0</start>
      <end>10</end>
      <status>unmodified</status>
      <modifiedWord/>
      <trackRevisions>false</trackRevisions>
    </reviewItem>
    <reviewItem>
      <errorID>579ed1ba-ec67-4837-b413-362a9e59d8fc</errorID>
      <errorWord>保障妇女儿童权益</errorWord>
      <group>L1_Political</group>
      <groupName>政治性问题</groupName>
      <ability>L2_Keyword</ability>
      <abilityName>固定表述</abilityName>
      <candidateList>
        <item>保障妇女儿童合法权益</item>
      </candidateList>
      <explain>词汇“保障妇女儿童合法权益”在特定场景下为固定表述形式，请确认此处的“保障妇女儿童权益”是否存在不当。</explain>
      <paraID>197430AD</paraID>
      <start>43</start>
      <end>51</end>
      <status>unmodified</status>
      <modifiedWord/>
      <trackRevisions>false</trackRevisions>
    </reviewItem>
    <reviewItem>
      <errorID>fb0a7dc6-8de7-44cb-9fa9-f4d42e626f1c</errorID>
      <errorWord>统筹发展与安全</errorWord>
      <group>L1_Political</group>
      <groupName>政治性问题</groupName>
      <ability>L2_Unpolitical</ability>
      <abilityName>政治敏感错误</abilityName>
      <candidateList>
        <item>统筹发展和安全</item>
      </candidateList>
      <explain/>
      <paraID>577D948C</paraID>
      <start>5</start>
      <end>12</end>
      <status>unmodified</status>
      <modifiedWord/>
      <trackRevisions>false</trackRevisions>
    </reviewItem>
    <reviewItem>
      <errorID>224ac0a0-92ba-45ed-9655-2f8b08784b41</errorID>
      <errorWord>共治共建共享</errorWord>
      <group>L1_Word</group>
      <groupName>字词问题</groupName>
      <ability>L2_Typo</ability>
      <abilityName>字词错误</abilityName>
      <candidateList>
        <item>共建共治共享</item>
      </candidateList>
      <explain/>
      <paraID>411958E6</paraID>
      <start>4</start>
      <end>10</end>
      <status>unmodified</status>
      <modifiedWord/>
      <trackRevisions>false</trackRevisions>
    </reviewItem>
    <reviewItem>
      <errorID>a94d0e1c-0212-433d-91c6-cf8c31586064</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74A7901B</paraID>
      <start>31</start>
      <end>35</end>
      <status>unmodified</status>
      <modifiedWord/>
      <trackRevisions>false</trackRevisions>
    </reviewItem>
    <reviewItem>
      <errorID>ca4a1584-4fc2-4130-a778-66524c9c6273</errorID>
      <errorWord>-</errorWord>
      <group>L1_Format</group>
      <groupName>格式问题</groupName>
      <ability>L2_HalfPunc</ability>
      <abilityName>全半角检查</abilityName>
      <candidateList>
        <item>－</item>
      </candidateList>
      <explain>文本全半角错误。</explain>
      <paraID>5822DDAD</paraID>
      <start>21</start>
      <end>22</end>
      <status>unmodified</status>
      <modifiedWord/>
      <trackRevisions>false</trackRevisions>
    </reviewItem>
    <reviewItem>
      <errorID>f0e39a52-c5de-403f-9e8e-a8f3c3173914</errorID>
      <errorWord>-</errorWord>
      <group>L1_Format</group>
      <groupName>格式问题</groupName>
      <ability>L2_HalfPunc</ability>
      <abilityName>全半角检查</abilityName>
      <candidateList>
        <item>－</item>
      </candidateList>
      <explain>文本全半角错误。</explain>
      <paraID>5822DDAD</paraID>
      <start>30</start>
      <end>31</end>
      <status>unmodified</status>
      <modifiedWord/>
      <trackRevisions>false</trackRevisions>
    </reviewItem>
    <reviewItem>
      <errorID>29ce9f63-aa4c-4d8f-a1a8-6f4d8a428aaf</errorID>
      <errorWord>担大梁</errorWord>
      <group>L1_Word</group>
      <groupName>字词问题</groupName>
      <ability>L2_Typo</ability>
      <abilityName>字词错误</abilityName>
      <candidateList>
        <item>挑大梁</item>
      </candidateList>
      <explain/>
      <paraID>45F6276E</paraID>
      <start>71</start>
      <end>74</end>
      <status>unmodified</status>
      <modifiedWord/>
      <trackRevisions>false</trackRevisions>
    </reviewItem>
    <reviewItem>
      <errorID>2f447b4b-a6fe-47d7-a2b1-10605b4a740b</errorID>
      <errorWord>部分</errorWord>
      <group>L1_Word</group>
      <groupName>字词问题</groupName>
      <ability>L2_Typo</ability>
      <abilityName>字词错误</abilityName>
      <candidateList>
        <item>部署</item>
      </candidateList>
      <explain>〈动〉安排；布置（人力、任务）：～工作｜战略～｜～了一个团的兵力。</explain>
      <paraID> EC378D1</paraID>
      <start>85</start>
      <end>87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088CC-8BB1-43F5-884F-1B0BFECC93EC}">
  <ds:schemaRefs/>
</ds:datastoreItem>
</file>

<file path=customXml/itemProps3.xml><?xml version="1.0" encoding="utf-8"?>
<ds:datastoreItem xmlns:ds="http://schemas.openxmlformats.org/officeDocument/2006/customXml" ds:itemID="{12b790e2-a2a2-4f93-ab8e-11c7505d7d47}">
  <ds:schemaRefs/>
</ds:datastoreItem>
</file>

<file path=docProps/app.xml><?xml version="1.0" encoding="utf-8"?>
<Properties xmlns="http://schemas.openxmlformats.org/officeDocument/2006/extended-properties" xmlns:vt="http://schemas.openxmlformats.org/officeDocument/2006/docPropsVTypes">
  <Template>Normal</Template>
  <Pages>33</Pages>
  <Words>11853</Words>
  <Characters>11865</Characters>
  <Lines>477</Lines>
  <Paragraphs>134</Paragraphs>
  <TotalTime>28</TotalTime>
  <ScaleCrop>false</ScaleCrop>
  <LinksUpToDate>false</LinksUpToDate>
  <CharactersWithSpaces>11918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2024-04-06T12:25:00Z</dcterms:created>
  <dc:creator>一</dc:creator>
  <cp:lastModifiedBy>～～</cp:lastModifiedBy>
  <cp:lastPrinted>2025-10-22T03:03:00Z</cp:lastPrinted>
  <dcterms:modified xsi:type="dcterms:W3CDTF">2025-11-05T00:58:48Z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C1782FF6490A44F8BEE04C54753F6E94_13</vt:lpwstr>
  </property>
  <property fmtid="{D5CDD505-2E9C-101B-9397-08002B2CF9AE}" pid="4" name="KSOTemplateDocerSaveRecord">
    <vt:lpwstr>eyJoZGlkIjoiNjc0OTljOTFkMTA2NjI4MzNmZjYzYTUwOTE5ZjdkODUiLCJ1c2VySWQiOiI0MTU2ODg4ODkifQ==</vt:lpwstr>
  </property>
</Properties>
</file>