
<file path=[Content_Types].xml><?xml version="1.0" encoding="utf-8"?>
<Types xmlns="http://schemas.openxmlformats.org/package/2006/content-types">
  <Default Extension="xml" ContentType="application/xml"/>
  <Default Extension="emf" ContentType="image/x-emf"/>
  <Default Extension="bin" ContentType="application/vnd.openxmlformats-officedocument.oleObject"/>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b/>
          <w:bCs/>
          <w:sz w:val="32"/>
          <w:szCs w:val="32"/>
          <w:lang w:val="en-US" w:eastAsia="zh-CN"/>
        </w:rPr>
      </w:pPr>
      <w:r>
        <w:rPr>
          <w:rFonts w:hint="eastAsia" w:ascii="Calibri" w:hAnsi="Calibri"/>
          <w:b/>
          <w:bCs/>
          <w:sz w:val="32"/>
          <w:szCs w:val="32"/>
          <w:lang w:val="en-US" w:eastAsia="zh-CN"/>
        </w:rPr>
        <w:t>数据分析</w:t>
      </w:r>
    </w:p>
    <w:p>
      <w:pPr>
        <w:jc w:val="center"/>
        <w:rPr>
          <w:rFonts w:hint="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12315投诉举</w:t>
      </w:r>
      <w:r>
        <w:rPr>
          <w:rFonts w:hint="eastAsia"/>
          <w:b/>
          <w:bCs/>
          <w:sz w:val="30"/>
          <w:szCs w:val="30"/>
          <w:lang w:val="en-US" w:eastAsia="zh-CN"/>
        </w:rPr>
        <w:t>报中心受理情况</w:t>
      </w:r>
    </w:p>
    <w:p>
      <w:pPr>
        <w:rPr>
          <w:rFonts w:hint="eastAsia" w:ascii="仿宋" w:hAnsi="仿宋" w:eastAsia="仿宋" w:cs="仿宋"/>
          <w:b w:val="0"/>
          <w:i w:val="0"/>
          <w:caps w:val="0"/>
          <w:color w:val="222222"/>
          <w:spacing w:val="8"/>
          <w:kern w:val="2"/>
          <w:sz w:val="31"/>
          <w:szCs w:val="31"/>
          <w:lang w:val="en-US" w:eastAsia="zh-CN" w:bidi="ar-SA"/>
        </w:rPr>
      </w:pPr>
      <w:r>
        <w:rPr>
          <w:rFonts w:hint="eastAsia" w:ascii="仿宋" w:hAnsi="仿宋" w:eastAsia="仿宋" w:cs="仿宋"/>
          <w:b w:val="0"/>
          <w:i w:val="0"/>
          <w:caps w:val="0"/>
          <w:color w:val="222222"/>
          <w:spacing w:val="8"/>
          <w:kern w:val="2"/>
          <w:sz w:val="31"/>
          <w:szCs w:val="31"/>
          <w:lang w:val="en-US" w:eastAsia="zh-CN" w:bidi="ar-SA"/>
        </w:rPr>
        <w:t xml:space="preserve"> (一)总体情况</w:t>
      </w:r>
    </w:p>
    <w:p>
      <w:pPr>
        <w:rPr>
          <w:rFonts w:hint="default" w:ascii="仿宋" w:hAnsi="仿宋" w:eastAsia="仿宋" w:cs="仿宋"/>
          <w:b w:val="0"/>
          <w:i w:val="0"/>
          <w:caps w:val="0"/>
          <w:color w:val="222222"/>
          <w:spacing w:val="8"/>
          <w:kern w:val="2"/>
          <w:sz w:val="31"/>
          <w:szCs w:val="31"/>
          <w:highlight w:val="none"/>
          <w:lang w:val="en-US" w:eastAsia="zh-CN" w:bidi="ar-SA"/>
        </w:rPr>
      </w:pPr>
      <w:r>
        <w:rPr>
          <w:rFonts w:hint="eastAsia"/>
          <w:sz w:val="28"/>
          <w:szCs w:val="28"/>
          <w:lang w:val="en-US" w:eastAsia="zh-CN"/>
        </w:rPr>
        <w:t xml:space="preserve">     </w:t>
      </w:r>
      <w:r>
        <w:rPr>
          <w:rFonts w:hint="eastAsia" w:ascii="仿宋" w:hAnsi="仿宋" w:eastAsia="仿宋" w:cs="仿宋"/>
          <w:b w:val="0"/>
          <w:i w:val="0"/>
          <w:caps w:val="0"/>
          <w:color w:val="222222"/>
          <w:spacing w:val="8"/>
          <w:kern w:val="2"/>
          <w:sz w:val="31"/>
          <w:szCs w:val="31"/>
          <w:highlight w:val="none"/>
          <w:lang w:val="en-US" w:eastAsia="zh-CN" w:bidi="ar-SA"/>
        </w:rPr>
        <w:t>2022年10月份宽城市场监管分局投诉、举报中心全口径接收咨询、投诉、举报、电话、来函来信等各类信息共985件，12315网络平台分流965件，占信息总量84%；共挽回经济损失15.21万元人民币；12345市长公开电话办公室交办153件。</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新型冠状病毒肺炎疫情在多方努力下得到有效控制，分局平台日受理疫情投诉、举报问题逐渐减少，分局持续保持高度戒备状态，接到市局转办件或电话受理关于疫情问题仍在第一时间分流到各市场监管责任主体，要求在当日工作时间内必须到现场核查、处理并及时反馈。我平台按照市局要求每日进行日报信息，将每天案件办结情况、处理举措、典型案例进行汇总统计及时上报。</w:t>
      </w:r>
    </w:p>
    <w:p>
      <w:pPr>
        <w:ind w:firstLine="326" w:firstLineChars="100"/>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关于12315和12345平台受理疫情案件从2020年1月23日起至2022年10月31日，共受理8927件，办结率96%。</w:t>
      </w:r>
    </w:p>
    <w:p>
      <w:pPr>
        <w:rPr>
          <w:rFonts w:hint="default" w:ascii="仿宋" w:hAnsi="仿宋" w:eastAsia="仿宋" w:cs="仿宋"/>
          <w:b w:val="0"/>
          <w:i w:val="0"/>
          <w:caps w:val="0"/>
          <w:color w:val="000000" w:themeColor="text1"/>
          <w:spacing w:val="8"/>
          <w:kern w:val="2"/>
          <w:sz w:val="31"/>
          <w:szCs w:val="31"/>
          <w:highlight w:val="none"/>
          <w:lang w:val="en-US" w:eastAsia="zh-CN" w:bidi="ar-SA"/>
          <w14:textFill>
            <w14:solidFill>
              <w14:schemeClr w14:val="tx1"/>
            </w14:solidFill>
          </w14:textFill>
        </w:rPr>
      </w:pP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（二）12315举报情况分析</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10月份受理举报件共485件，办结443件，办结率91%。</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（三）12315投诉情况分析</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10月份受理投诉件共478件，办结387件，办结率80%。</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（四）12315案件办结情况统计</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10月份共计办结830件，截止10月31日，办理中还有135件。</w:t>
      </w:r>
    </w:p>
    <w:p>
      <w:pPr>
        <w:rPr>
          <w:rFonts w:hint="default"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（五）12315平台绩效考核</w:t>
      </w:r>
    </w:p>
    <w:p>
      <w:pPr>
        <w:ind w:firstLine="652" w:firstLineChars="200"/>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12315平台各监管责任主体7个工作日内未与消费者联系、案件已办结，但消费者称没人告知结果，被市局@情况频出，经核查均为不属实，各监管责任主体有录音备查。</w:t>
      </w:r>
    </w:p>
    <w:p>
      <w:pPr>
        <w:ind w:firstLine="652" w:firstLineChars="200"/>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本月无初、核查及办结超期件。</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（六）12345平台办理情况统计</w:t>
      </w:r>
    </w:p>
    <w:p>
      <w:pPr>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 xml:space="preserve">    10月1日至10月31日12345平台转办件共153件，已办144件，办结率94%。</w:t>
      </w:r>
    </w:p>
    <w:p>
      <w:pPr>
        <w:ind w:firstLine="652" w:firstLineChars="200"/>
        <w:rPr>
          <w:rFonts w:hint="eastAsia" w:ascii="仿宋" w:hAnsi="仿宋" w:eastAsia="仿宋" w:cs="仿宋"/>
          <w:b w:val="0"/>
          <w:i w:val="0"/>
          <w:caps w:val="0"/>
          <w:color w:val="222222"/>
          <w:spacing w:val="8"/>
          <w:kern w:val="2"/>
          <w:sz w:val="31"/>
          <w:szCs w:val="31"/>
          <w:highlight w:val="none"/>
          <w:lang w:val="en-US" w:eastAsia="zh-CN" w:bidi="ar-SA"/>
        </w:rPr>
      </w:pPr>
      <w:r>
        <w:rPr>
          <w:rFonts w:hint="eastAsia" w:ascii="仿宋" w:hAnsi="仿宋" w:eastAsia="仿宋" w:cs="仿宋"/>
          <w:b w:val="0"/>
          <w:i w:val="0"/>
          <w:caps w:val="0"/>
          <w:color w:val="222222"/>
          <w:spacing w:val="8"/>
          <w:kern w:val="2"/>
          <w:sz w:val="31"/>
          <w:szCs w:val="31"/>
          <w:highlight w:val="none"/>
          <w:lang w:val="en-US" w:eastAsia="zh-CN" w:bidi="ar-SA"/>
        </w:rPr>
        <w:t>其中投诉量较大的前三类：商业欺骗、工作效率26件，占总比16%，营业执照类45件，占总比29%、商品服务质量41件，占总比27% 。</w:t>
      </w: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b/>
          <w:bCs/>
          <w:sz w:val="32"/>
          <w:szCs w:val="32"/>
          <w:highlight w:val="none"/>
          <w:lang w:val="en-US" w:eastAsia="zh-CN"/>
        </w:rPr>
      </w:pPr>
    </w:p>
    <w:p>
      <w:pPr>
        <w:rPr>
          <w:rFonts w:hint="eastAsia" w:ascii="Calibri" w:hAnsi="Calibri"/>
          <w:b/>
          <w:bCs/>
          <w:sz w:val="32"/>
          <w:szCs w:val="32"/>
          <w:highlight w:val="none"/>
          <w:lang w:val="en-US" w:eastAsia="zh-CN"/>
        </w:rPr>
      </w:pPr>
      <w:r>
        <w:rPr>
          <w:rFonts w:hint="eastAsia"/>
          <w:b/>
          <w:bCs/>
          <w:sz w:val="32"/>
          <w:szCs w:val="32"/>
          <w:highlight w:val="none"/>
          <w:lang w:val="en-US" w:eastAsia="zh-CN"/>
        </w:rPr>
        <w:t>数据</w:t>
      </w:r>
      <w:r>
        <w:rPr>
          <w:rFonts w:hint="eastAsia" w:ascii="Calibri" w:hAnsi="Calibri"/>
          <w:b/>
          <w:bCs/>
          <w:sz w:val="32"/>
          <w:szCs w:val="32"/>
          <w:highlight w:val="none"/>
          <w:lang w:val="en-US" w:eastAsia="zh-CN"/>
        </w:rPr>
        <w:t>分析</w:t>
      </w:r>
    </w:p>
    <w:p>
      <w:pPr>
        <w:jc w:val="center"/>
        <w:rPr>
          <w:rFonts w:hint="eastAsia"/>
          <w:b/>
          <w:bCs/>
          <w:sz w:val="30"/>
          <w:szCs w:val="30"/>
          <w:highlight w:val="none"/>
          <w:lang w:val="en-US" w:eastAsia="zh-CN"/>
        </w:rPr>
      </w:pPr>
      <w:r>
        <w:rPr>
          <w:rFonts w:hint="eastAsia"/>
          <w:b/>
          <w:bCs/>
          <w:sz w:val="30"/>
          <w:szCs w:val="30"/>
          <w:highlight w:val="none"/>
          <w:lang w:val="en-US" w:eastAsia="zh-CN"/>
        </w:rPr>
        <w:t>2022年10月份分局各监管责任主体12315系统</w:t>
      </w:r>
    </w:p>
    <w:p>
      <w:pPr>
        <w:jc w:val="center"/>
        <w:rPr>
          <w:rFonts w:hint="default"/>
          <w:b/>
          <w:bCs/>
          <w:sz w:val="30"/>
          <w:szCs w:val="30"/>
          <w:highlight w:val="none"/>
          <w:lang w:val="en-US" w:eastAsia="zh-CN"/>
        </w:rPr>
      </w:pPr>
      <w:r>
        <w:rPr>
          <w:rFonts w:hint="eastAsia"/>
          <w:b/>
          <w:bCs/>
          <w:sz w:val="30"/>
          <w:szCs w:val="30"/>
          <w:highlight w:val="none"/>
          <w:lang w:val="en-US" w:eastAsia="zh-CN"/>
        </w:rPr>
        <w:t>办件数量统计一览表</w:t>
      </w:r>
    </w:p>
    <w:tbl>
      <w:tblPr>
        <w:tblStyle w:val="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45"/>
        <w:gridCol w:w="770"/>
        <w:gridCol w:w="770"/>
        <w:gridCol w:w="770"/>
        <w:gridCol w:w="770"/>
        <w:gridCol w:w="770"/>
        <w:gridCol w:w="770"/>
        <w:gridCol w:w="770"/>
        <w:gridCol w:w="77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96" w:type="dxa"/>
            <w:vAlign w:val="center"/>
          </w:tcPr>
          <w:p>
            <w:pPr>
              <w:jc w:val="center"/>
              <w:rPr>
                <w:rFonts w:hint="eastAsia"/>
                <w:b w:val="0"/>
                <w:bCs w:val="0"/>
                <w:sz w:val="18"/>
                <w:szCs w:val="18"/>
                <w:highlight w:val="none"/>
                <w:vertAlign w:val="baseline"/>
                <w:lang w:val="en-US" w:eastAsia="zh-CN"/>
              </w:rPr>
            </w:pPr>
            <w:r>
              <w:rPr>
                <w:rFonts w:hint="eastAsia"/>
                <w:b/>
                <w:bCs/>
                <w:sz w:val="18"/>
                <w:szCs w:val="18"/>
                <w:highlight w:val="none"/>
                <w:vertAlign w:val="baseline"/>
                <w:lang w:val="en-US" w:eastAsia="zh-CN"/>
              </w:rPr>
              <w:t>序号</w:t>
            </w:r>
          </w:p>
        </w:tc>
        <w:tc>
          <w:tcPr>
            <w:tcW w:w="945"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单位名称</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受理量</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举报</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投诉</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办结</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办结率</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回访数量</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处理结果满意率</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工作态度满意率</w:t>
            </w:r>
          </w:p>
        </w:tc>
        <w:tc>
          <w:tcPr>
            <w:tcW w:w="770" w:type="dxa"/>
            <w:vAlign w:val="center"/>
          </w:tcPr>
          <w:p>
            <w:pPr>
              <w:jc w:val="center"/>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诉转案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全局</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965</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485</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478</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830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95</w:t>
            </w:r>
            <w:r>
              <w:rPr>
                <w:rFonts w:hint="eastAsia" w:ascii="Calibri" w:hAnsi="Calibri" w:eastAsia="宋体" w:cs="Times New Roman"/>
                <w:b w:val="0"/>
                <w:bCs w:val="0"/>
                <w:kern w:val="2"/>
                <w:sz w:val="18"/>
                <w:szCs w:val="18"/>
                <w:highlight w:val="none"/>
                <w:vertAlign w:val="baseline"/>
                <w:lang w:val="en-US" w:eastAsia="zh-CN" w:bidi="ar-SA"/>
              </w:rPr>
              <w:t>%</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147</w:t>
            </w:r>
          </w:p>
        </w:tc>
        <w:tc>
          <w:tcPr>
            <w:tcW w:w="770" w:type="dxa"/>
            <w:shd w:val="clear" w:color="auto" w:fill="E7E6E6" w:themeFill="background2"/>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E7E6E6" w:themeFill="background2"/>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E7E6E6" w:themeFill="background2"/>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站前所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132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84%</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14</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2</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新发所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13</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61%</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9</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3</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南广所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27</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55</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94%</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4</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东广所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85%</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5</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群英所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23</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93%</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6</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凯旋所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100%</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7</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团山所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24</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100%</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12</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8</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柳影所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123</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59</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89</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72%</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9</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兴业所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38</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88%</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10</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欣园所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45</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99%</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14</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11</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兰家所</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16</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37</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32</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57%</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11</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cs="Times New Roman"/>
                <w:b w:val="0"/>
                <w:bCs w:val="0"/>
                <w:kern w:val="2"/>
                <w:sz w:val="18"/>
                <w:szCs w:val="18"/>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12</w:t>
            </w:r>
          </w:p>
        </w:tc>
        <w:tc>
          <w:tcPr>
            <w:tcW w:w="945" w:type="dxa"/>
            <w:vAlign w:val="center"/>
          </w:tcPr>
          <w:p>
            <w:pPr>
              <w:jc w:val="both"/>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监管一科</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1</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13</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监管二科</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14</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监管三科</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11</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2</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9</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asciiTheme="minorHAnsi" w:hAnsiTheme="minorHAnsi" w:eastAsiaTheme="minorEastAsia" w:cstheme="minorBidi"/>
                <w:b w:val="0"/>
                <w:bCs w:val="0"/>
                <w:kern w:val="2"/>
                <w:sz w:val="18"/>
                <w:szCs w:val="18"/>
                <w:highlight w:val="none"/>
                <w:vertAlign w:val="baseline"/>
                <w:lang w:val="en-US" w:eastAsia="zh-CN" w:bidi="ar-SA"/>
              </w:rPr>
              <w:t>8</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72%</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15</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监管四科</w:t>
            </w:r>
          </w:p>
        </w:tc>
        <w:tc>
          <w:tcPr>
            <w:tcW w:w="770" w:type="dxa"/>
            <w:vAlign w:val="center"/>
          </w:tcPr>
          <w:p>
            <w:pPr>
              <w:jc w:val="center"/>
              <w:rPr>
                <w:rFonts w:hint="default"/>
                <w:b w:val="0"/>
                <w:bCs w:val="0"/>
                <w:sz w:val="18"/>
                <w:szCs w:val="18"/>
                <w:highlight w:val="none"/>
                <w:vertAlign w:val="baseline"/>
                <w:lang w:val="en-US" w:eastAsia="zh-CN"/>
              </w:rPr>
            </w:pPr>
            <w:r>
              <w:rPr>
                <w:rFonts w:hint="eastAsia" w:asciiTheme="minorHAnsi" w:hAnsiTheme="minorHAnsi" w:eastAsiaTheme="minorEastAsia" w:cstheme="minorBidi"/>
                <w:b w:val="0"/>
                <w:bCs w:val="0"/>
                <w:kern w:val="2"/>
                <w:sz w:val="18"/>
                <w:szCs w:val="18"/>
                <w:highlight w:val="none"/>
                <w:vertAlign w:val="baseline"/>
                <w:lang w:val="en-US" w:eastAsia="zh-CN" w:bidi="ar-SA"/>
              </w:rPr>
              <w:t>11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w:t>
            </w:r>
          </w:p>
        </w:tc>
        <w:tc>
          <w:tcPr>
            <w:tcW w:w="770" w:type="dxa"/>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11</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100%</w:t>
            </w:r>
          </w:p>
        </w:tc>
        <w:tc>
          <w:tcPr>
            <w:tcW w:w="770" w:type="dxa"/>
            <w:shd w:val="clear" w:color="auto" w:fill="auto"/>
            <w:vAlign w:val="center"/>
          </w:tcPr>
          <w:p>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shd w:val="clear" w:color="auto" w:fill="auto"/>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16</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审批办</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vAlign w:val="center"/>
          </w:tcPr>
          <w:p>
            <w:pPr>
              <w:jc w:val="center"/>
              <w:rPr>
                <w:rFonts w:hint="default"/>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6" w:type="dxa"/>
            <w:vAlign w:val="center"/>
          </w:tcPr>
          <w:p>
            <w:pPr>
              <w:jc w:val="center"/>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17</w:t>
            </w:r>
          </w:p>
        </w:tc>
        <w:tc>
          <w:tcPr>
            <w:tcW w:w="945" w:type="dxa"/>
            <w:vAlign w:val="center"/>
          </w:tcPr>
          <w:p>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党群办</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Theme="minorHAnsi" w:hAnsiTheme="minorHAnsi" w:eastAsiaTheme="minorEastAsia" w:cstheme="minorBidi"/>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c>
          <w:tcPr>
            <w:tcW w:w="770" w:type="dxa"/>
            <w:vAlign w:val="center"/>
          </w:tcPr>
          <w:p>
            <w:pPr>
              <w:jc w:val="center"/>
              <w:rPr>
                <w:rFonts w:hint="default"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vAlign w:val="center"/>
          </w:tcPr>
          <w:p>
            <w:pPr>
              <w:jc w:val="center"/>
              <w:rPr>
                <w:rFonts w:hint="default"/>
                <w:b w:val="0"/>
                <w:bCs w:val="0"/>
                <w:sz w:val="18"/>
                <w:szCs w:val="18"/>
                <w:highlight w:val="none"/>
                <w:vertAlign w:val="baseline"/>
                <w:lang w:val="en-US" w:eastAsia="zh-CN"/>
              </w:rPr>
            </w:pPr>
            <w:r>
              <w:rPr>
                <w:rFonts w:hint="eastAsia" w:ascii="Calibri" w:hAnsi="Calibri" w:eastAsia="宋体" w:cs="Times New Roman"/>
                <w:b w:val="0"/>
                <w:bCs w:val="0"/>
                <w:kern w:val="2"/>
                <w:sz w:val="18"/>
                <w:szCs w:val="18"/>
                <w:highlight w:val="none"/>
                <w:vertAlign w:val="baseline"/>
                <w:lang w:val="en-US" w:eastAsia="zh-CN" w:bidi="ar-SA"/>
              </w:rPr>
              <w:t>100%</w:t>
            </w:r>
          </w:p>
        </w:tc>
        <w:tc>
          <w:tcPr>
            <w:tcW w:w="770" w:type="dxa"/>
            <w:vAlign w:val="center"/>
          </w:tcPr>
          <w:p>
            <w:pPr>
              <w:jc w:val="center"/>
              <w:rPr>
                <w:rFonts w:hint="eastAsia" w:ascii="Calibri" w:hAnsi="Calibri" w:eastAsia="宋体" w:cs="Times New Roman"/>
                <w:b w:val="0"/>
                <w:bCs w:val="0"/>
                <w:kern w:val="2"/>
                <w:sz w:val="18"/>
                <w:szCs w:val="18"/>
                <w:highlight w:val="none"/>
                <w:vertAlign w:val="baseline"/>
                <w:lang w:val="en-US" w:eastAsia="zh-CN" w:bidi="ar-SA"/>
              </w:rPr>
            </w:pPr>
            <w:r>
              <w:rPr>
                <w:rFonts w:hint="eastAsia" w:ascii="Calibri" w:hAnsi="Calibri" w:eastAsia="宋体" w:cs="Times New Roman"/>
                <w:b w:val="0"/>
                <w:bCs w:val="0"/>
                <w:kern w:val="2"/>
                <w:sz w:val="18"/>
                <w:szCs w:val="18"/>
                <w:highlight w:val="none"/>
                <w:vertAlign w:val="baseline"/>
                <w:lang w:val="en-US" w:eastAsia="zh-CN" w:bidi="ar-SA"/>
              </w:rPr>
              <w:t>0</w:t>
            </w:r>
          </w:p>
        </w:tc>
      </w:tr>
    </w:tbl>
    <w:p>
      <w:pPr>
        <w:jc w:val="left"/>
        <w:rPr>
          <w:rFonts w:hint="default"/>
          <w:b/>
          <w:bCs/>
          <w:sz w:val="21"/>
          <w:szCs w:val="21"/>
          <w:highlight w:val="none"/>
          <w:lang w:val="en-US" w:eastAsia="zh-CN"/>
        </w:rPr>
      </w:pPr>
    </w:p>
    <w:p>
      <w:pPr>
        <w:jc w:val="left"/>
        <w:rPr>
          <w:rFonts w:hint="default"/>
          <w:b/>
          <w:bCs/>
          <w:sz w:val="21"/>
          <w:szCs w:val="21"/>
          <w:highlight w:val="none"/>
          <w:lang w:val="en-US" w:eastAsia="zh-CN"/>
        </w:rPr>
      </w:pPr>
      <w:r>
        <w:rPr>
          <w:rFonts w:hint="eastAsia"/>
          <w:b/>
          <w:bCs/>
          <w:sz w:val="21"/>
          <w:szCs w:val="21"/>
          <w:highlight w:val="none"/>
          <w:lang w:val="en-US" w:eastAsia="zh-CN"/>
        </w:rPr>
        <w:t>注：【统计时间截止10月31日实时数据】 如有超期办件、消费者对处理结果和工作动态满意率低于80%的单位，需向消保主管局长直至主要领导当面说明情况。</w:t>
      </w:r>
    </w:p>
    <w:p>
      <w:pPr>
        <w:bidi w:val="0"/>
        <w:jc w:val="left"/>
        <w:rPr>
          <w:rFonts w:hint="eastAsia"/>
          <w:highlight w:val="none"/>
          <w:lang w:val="en-US" w:eastAsia="zh-CN"/>
        </w:rPr>
      </w:pPr>
    </w:p>
    <w:p>
      <w:pPr>
        <w:bidi w:val="0"/>
        <w:jc w:val="left"/>
        <w:rPr>
          <w:rFonts w:hint="eastAsia"/>
          <w:highlight w:val="none"/>
          <w:lang w:val="en-US" w:eastAsia="zh-CN"/>
        </w:rPr>
      </w:pPr>
    </w:p>
    <w:p>
      <w:pPr>
        <w:bidi w:val="0"/>
        <w:jc w:val="left"/>
        <w:rPr>
          <w:rFonts w:hint="eastAsia"/>
          <w:highlight w:val="none"/>
          <w:lang w:val="en-US" w:eastAsia="zh-CN"/>
        </w:rPr>
      </w:pPr>
    </w:p>
    <w:p>
      <w:pPr>
        <w:jc w:val="both"/>
        <w:rPr>
          <w:rFonts w:hint="eastAsia"/>
          <w:b/>
          <w:bCs/>
          <w:sz w:val="30"/>
          <w:szCs w:val="30"/>
          <w:highlight w:val="none"/>
          <w:lang w:val="en-US" w:eastAsia="zh-CN"/>
        </w:rPr>
      </w:pPr>
    </w:p>
    <w:p>
      <w:pPr>
        <w:jc w:val="center"/>
        <w:rPr>
          <w:rFonts w:hint="eastAsia"/>
          <w:b/>
          <w:bCs/>
          <w:sz w:val="30"/>
          <w:szCs w:val="30"/>
          <w:highlight w:val="none"/>
          <w:lang w:val="en-US" w:eastAsia="zh-CN"/>
        </w:rPr>
      </w:pPr>
    </w:p>
    <w:p>
      <w:pPr>
        <w:rPr>
          <w:rFonts w:hint="eastAsia"/>
          <w:b/>
          <w:bCs/>
          <w:sz w:val="32"/>
          <w:szCs w:val="32"/>
          <w:lang w:val="en-US" w:eastAsia="zh-CN"/>
        </w:rPr>
      </w:pPr>
      <w:r>
        <w:rPr>
          <w:rFonts w:hint="eastAsia"/>
          <w:b/>
          <w:bCs/>
          <w:sz w:val="32"/>
          <w:szCs w:val="32"/>
          <w:lang w:val="en-US" w:eastAsia="zh-CN"/>
        </w:rPr>
        <w:t>受理、办结情况示意图</w:t>
      </w:r>
    </w:p>
    <w:p>
      <w:pPr>
        <w:rPr>
          <w:rFonts w:hint="eastAsia"/>
          <w:b/>
          <w:bCs/>
          <w:sz w:val="32"/>
          <w:szCs w:val="32"/>
          <w:lang w:val="en-US" w:eastAsia="zh-CN"/>
        </w:rPr>
      </w:pPr>
    </w:p>
    <w:p>
      <w:pPr>
        <w:bidi w:val="0"/>
        <w:rPr>
          <w:rFonts w:hint="eastAsia"/>
          <w:lang w:val="en-US" w:eastAsia="zh-CN"/>
        </w:rPr>
      </w:pPr>
    </w:p>
    <w:p>
      <w:pPr>
        <w:bidi w:val="0"/>
        <w:rPr>
          <w:rFonts w:hint="eastAsia"/>
          <w:lang w:val="en-US" w:eastAsia="zh-CN"/>
        </w:rPr>
      </w:pPr>
    </w:p>
    <w:p>
      <w:pPr>
        <w:bidi w:val="0"/>
      </w:pPr>
      <w:r>
        <w:rPr>
          <w:rFonts w:hint="default" w:ascii="华文中宋" w:hAnsi="华文中宋" w:eastAsia="华文中宋" w:cs="华文中宋"/>
          <w:b w:val="0"/>
          <w:bCs w:val="0"/>
          <w:sz w:val="30"/>
          <w:szCs w:val="30"/>
          <w:lang w:val="en-US" w:eastAsia="zh-CN"/>
        </w:rPr>
        <w:object>
          <v:shape id="_x0000_i1025" o:spt="75" type="#_x0000_t75" style="height:335.8pt;width:424.9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bookmarkStart w:id="0" w:name="_GoBack"/>
      <w:bookmarkEnd w:id="0"/>
    </w:p>
    <w:sectPr>
      <w:headerReference r:id="rId3" w:type="default"/>
      <w:footerReference r:id="rId4" w:type="default"/>
      <w:pgSz w:w="11906" w:h="16838"/>
      <w:pgMar w:top="1440" w:right="1800" w:bottom="1440" w:left="1800" w:header="624"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粗黑简">
    <w:altName w:val="方正黑体_GBK"/>
    <w:panose1 w:val="02010600000101010101"/>
    <w:charset w:val="86"/>
    <w:family w:val="auto"/>
    <w:pitch w:val="default"/>
    <w:sig w:usb0="00000000" w:usb1="00000000" w:usb2="00000002"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yp+FAIAABUEAAAOAAAAZHJz&#10;L2Uyb0RvYy54bWytU8uO0zAU3SPxD5b3NGlHjKqq6ajMqAipYkYqiLXrOE0kv2S7TcoHwB+wYsOe&#10;7+p3zLHTdNAMK8TGvr7ve+7x/KZTkhyE843RBR2PckqE5qZs9K6gnz+t3kwp8YHpkkmjRUGPwtOb&#10;xetX89bOxMTURpbCESTRftbagtYh2FmWeV4LxfzIWKFhrIxTLODpdlnpWIvsSmaTPL/OWuNK6wwX&#10;3kN71xvpIuWvKsHDfVV5EYgsKHoL6XTp3MYzW8zZbOeYrRt+boP9QxeKNRpFL6nuWGBk75oXqVTD&#10;nfGmCiNuVGaqquEizYBpxvmzaTY1syLNAnC8vcDk/19a/vHw4EhTYndXlGimsKPTj++nn79Pv74R&#10;6ABQa/0MfhsLz9C9Mx2cB72HMs7dVU7FGxMR2AH18QKv6ALhMWg6mU5zmDhswwP5s6dw63x4L4wi&#10;USiow/4SrOyw9qF3HVxiNW1WjZRph1KTtqDXV2/zFHCxILnUqBGH6JuNUui23XmyrSmPGMyZnhve&#10;8lWD4mvmwwNzIAMaBsHDPY5KGhQxZ4mS2rivf9NHf+wIVkpakKugGuynRH7Q2F3k4SC4QdgOgt6r&#10;WwO2jvFxLE8iAlyQg1g5o76A9ctYAyamOSoVNAzibegJjl/DxXKZnPbWNbu6DwDzLAtrvbE8lolA&#10;ervcB4CZMI4A9aiccQP30pbO/ySS+8938nr6zY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o7Kn4UAgAAFQQAAA4AAAAAAAAAAQAgAAAANQEAAGRycy9lMm9Eb2MueG1sUEsFBgAAAAAGAAYA&#10;WQEAALs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p>
    <w:pPr>
      <w:pStyle w:val="3"/>
      <w:pBdr>
        <w:bottom w:val="single" w:color="auto" w:sz="4" w:space="1"/>
      </w:pBdr>
      <w:tabs>
        <w:tab w:val="left" w:pos="7192"/>
        <w:tab w:val="clear" w:pos="4153"/>
      </w:tabs>
      <w:ind w:firstLine="480" w:firstLineChars="200"/>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ge">
            <wp:posOffset>560705</wp:posOffset>
          </wp:positionV>
          <wp:extent cx="367665" cy="431800"/>
          <wp:effectExtent l="0" t="0" r="0" b="0"/>
          <wp:wrapNone/>
          <wp:docPr id="14" name="图片 14" descr="360截图202004301028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60截图20200430102820233"/>
                  <pic:cNvPicPr>
                    <a:picLocks noChangeAspect="1"/>
                  </pic:cNvPicPr>
                </pic:nvPicPr>
                <pic:blipFill>
                  <a:blip r:embed="rId1"/>
                  <a:stretch>
                    <a:fillRect/>
                  </a:stretch>
                </pic:blipFill>
                <pic:spPr>
                  <a:xfrm>
                    <a:off x="0" y="0"/>
                    <a:ext cx="367665" cy="431800"/>
                  </a:xfrm>
                  <a:prstGeom prst="rect">
                    <a:avLst/>
                  </a:prstGeom>
                </pic:spPr>
              </pic:pic>
            </a:graphicData>
          </a:graphic>
        </wp:anchor>
      </w:drawing>
    </w:r>
  </w:p>
  <w:p>
    <w:pPr>
      <w:pStyle w:val="3"/>
      <w:pBdr>
        <w:bottom w:val="single" w:color="auto" w:sz="4" w:space="1"/>
      </w:pBdr>
      <w:tabs>
        <w:tab w:val="left" w:pos="7192"/>
        <w:tab w:val="clear" w:pos="4153"/>
      </w:tabs>
      <w:ind w:firstLine="720" w:firstLineChars="300"/>
      <w:rPr>
        <w:rFonts w:hint="eastAsia" w:eastAsia="宋体"/>
        <w:lang w:val="en-US" w:eastAsia="zh-CN"/>
      </w:rPr>
    </w:pPr>
    <w:r>
      <w:rPr>
        <w:rFonts w:hint="eastAsia"/>
        <w:sz w:val="24"/>
        <w:szCs w:val="24"/>
        <w:lang w:val="en-US" w:eastAsia="zh-CN"/>
      </w:rPr>
      <w:t>宽城分局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ZThkNGRmNGYzMjUzZjU5Y2E2ZGNmZWUxMGM1ZDMifQ=="/>
  </w:docVars>
  <w:rsids>
    <w:rsidRoot w:val="66A55835"/>
    <w:rsid w:val="0011285B"/>
    <w:rsid w:val="022C38E4"/>
    <w:rsid w:val="032410B8"/>
    <w:rsid w:val="035B577E"/>
    <w:rsid w:val="06C8266E"/>
    <w:rsid w:val="07D801B7"/>
    <w:rsid w:val="088541F9"/>
    <w:rsid w:val="08FF5A16"/>
    <w:rsid w:val="0B01544A"/>
    <w:rsid w:val="0D772288"/>
    <w:rsid w:val="10DE1ACF"/>
    <w:rsid w:val="115B6D94"/>
    <w:rsid w:val="11B16F01"/>
    <w:rsid w:val="165B4C96"/>
    <w:rsid w:val="173C42B0"/>
    <w:rsid w:val="1A864494"/>
    <w:rsid w:val="1DA842FB"/>
    <w:rsid w:val="210C076A"/>
    <w:rsid w:val="24EC0202"/>
    <w:rsid w:val="26135580"/>
    <w:rsid w:val="26CC62A4"/>
    <w:rsid w:val="28224340"/>
    <w:rsid w:val="28DF7FBB"/>
    <w:rsid w:val="2BF74143"/>
    <w:rsid w:val="2C2C3886"/>
    <w:rsid w:val="2D1D34C2"/>
    <w:rsid w:val="3079504A"/>
    <w:rsid w:val="33C64383"/>
    <w:rsid w:val="39D4535A"/>
    <w:rsid w:val="3B1077DD"/>
    <w:rsid w:val="3C4218CB"/>
    <w:rsid w:val="403B420F"/>
    <w:rsid w:val="428C3C99"/>
    <w:rsid w:val="451F31CC"/>
    <w:rsid w:val="464232D6"/>
    <w:rsid w:val="46D960AF"/>
    <w:rsid w:val="471D5720"/>
    <w:rsid w:val="47CC1935"/>
    <w:rsid w:val="4ADC0C2A"/>
    <w:rsid w:val="4C872721"/>
    <w:rsid w:val="4D546AC3"/>
    <w:rsid w:val="4EA130DD"/>
    <w:rsid w:val="4EC90176"/>
    <w:rsid w:val="4FB25807"/>
    <w:rsid w:val="51A5686D"/>
    <w:rsid w:val="52081926"/>
    <w:rsid w:val="556174A2"/>
    <w:rsid w:val="55861428"/>
    <w:rsid w:val="569B3F45"/>
    <w:rsid w:val="5753701C"/>
    <w:rsid w:val="5AAB750A"/>
    <w:rsid w:val="5C5776E1"/>
    <w:rsid w:val="5E9D042C"/>
    <w:rsid w:val="5F470436"/>
    <w:rsid w:val="60593795"/>
    <w:rsid w:val="62213FE8"/>
    <w:rsid w:val="66676220"/>
    <w:rsid w:val="66A55835"/>
    <w:rsid w:val="6A7B5BA2"/>
    <w:rsid w:val="6BAC7EF8"/>
    <w:rsid w:val="6CFE3B63"/>
    <w:rsid w:val="6E665F22"/>
    <w:rsid w:val="6E726A6E"/>
    <w:rsid w:val="6F7C0B0F"/>
    <w:rsid w:val="6FD75EC2"/>
    <w:rsid w:val="711463E2"/>
    <w:rsid w:val="723E7C1F"/>
    <w:rsid w:val="72567E9C"/>
    <w:rsid w:val="731F1B1C"/>
    <w:rsid w:val="741775BF"/>
    <w:rsid w:val="74D84BFF"/>
    <w:rsid w:val="789D40E8"/>
    <w:rsid w:val="7A2D770D"/>
    <w:rsid w:val="7ECC3D6A"/>
    <w:rsid w:val="7F2DD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WPSOffice手动目录 1"/>
    <w:qFormat/>
    <w:uiPriority w:val="0"/>
    <w:pPr>
      <w:ind w:leftChars="0"/>
    </w:pPr>
    <w:rPr>
      <w:rFonts w:ascii="Calibri" w:hAnsi="Calibri" w:eastAsia="宋体" w:cs="Times New Roman"/>
      <w:sz w:val="20"/>
      <w:szCs w:val="20"/>
    </w:rPr>
  </w:style>
  <w:style w:type="paragraph" w:customStyle="1" w:styleId="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12</Pages>
  <Words>2548</Words>
  <Characters>3345</Characters>
  <Lines>0</Lines>
  <Paragraphs>0</Paragraphs>
  <TotalTime>137</TotalTime>
  <ScaleCrop>false</ScaleCrop>
  <LinksUpToDate>false</LinksUpToDate>
  <CharactersWithSpaces>3403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2021-07-16T15:33:00Z</dcterms:created>
  <dc:creator>一点设计</dc:creator>
  <dc:description>更多Abu设计的信纸请访问
http://chn.docer.com/works?userid=415014680
谢谢支持</dc:description>
  <cp:keywords>信纸 信笺背景</cp:keywords>
  <cp:lastModifiedBy>langchao</cp:lastModifiedBy>
  <dcterms:modified xsi:type="dcterms:W3CDTF">2022-11-22T13:16:33Z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8762497670454F449A4A7151C4810C3B</vt:lpwstr>
  </property>
  <property fmtid="{D5CDD505-2E9C-101B-9397-08002B2CF9AE}" pid="4" name="KSOSaveFontToCloudKey">
    <vt:lpwstr>0_btnclosed</vt:lpwstr>
  </property>
</Properties>
</file>