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 xml:space="preserve">   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b/>
          <w:kern w:val="0"/>
          <w:sz w:val="32"/>
          <w:szCs w:val="32"/>
        </w:rPr>
        <w:t>年宽城区税收返还、转移支付及举债情况说明</w:t>
      </w:r>
    </w:p>
    <w:p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kern w:val="0"/>
          <w:sz w:val="32"/>
          <w:szCs w:val="32"/>
        </w:rPr>
        <w:t xml:space="preserve">   </w:t>
      </w:r>
      <w:r>
        <w:rPr>
          <w:rFonts w:ascii="宋体" w:hAnsi="宋体" w:cs="宋体"/>
          <w:b/>
          <w:kern w:val="0"/>
          <w:sz w:val="32"/>
          <w:szCs w:val="32"/>
        </w:rPr>
        <w:t>一</w:t>
      </w:r>
      <w:r>
        <w:rPr>
          <w:rFonts w:hint="eastAsia" w:ascii="宋体" w:hAnsi="宋体" w:cs="宋体"/>
          <w:b/>
          <w:kern w:val="0"/>
          <w:sz w:val="32"/>
          <w:szCs w:val="32"/>
        </w:rPr>
        <w:t>、</w:t>
      </w:r>
      <w:r>
        <w:rPr>
          <w:rFonts w:ascii="宋体" w:hAnsi="宋体" w:cs="宋体"/>
          <w:b/>
          <w:kern w:val="0"/>
          <w:sz w:val="32"/>
          <w:szCs w:val="32"/>
        </w:rPr>
        <w:t xml:space="preserve"> 转移支付预算</w:t>
      </w:r>
    </w:p>
    <w:p>
      <w:pPr>
        <w:widowControl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24"/>
          <w:szCs w:val="24"/>
        </w:rPr>
        <w:t> </w:t>
      </w:r>
      <w:r>
        <w:rPr>
          <w:rFonts w:ascii="宋体" w:hAnsi="宋体" w:cs="宋体"/>
          <w:kern w:val="0"/>
          <w:sz w:val="32"/>
          <w:szCs w:val="32"/>
        </w:rPr>
        <w:t> </w:t>
      </w:r>
      <w:r>
        <w:rPr>
          <w:rFonts w:hint="eastAsia" w:ascii="宋体" w:hAnsi="宋体" w:cs="宋体"/>
          <w:kern w:val="0"/>
          <w:sz w:val="32"/>
          <w:szCs w:val="32"/>
        </w:rPr>
        <w:t xml:space="preserve"> </w:t>
      </w:r>
      <w:r>
        <w:rPr>
          <w:rFonts w:ascii="宋体" w:hAnsi="宋体" w:cs="宋体"/>
          <w:kern w:val="0"/>
          <w:sz w:val="32"/>
          <w:szCs w:val="32"/>
        </w:rPr>
        <w:t>20</w:t>
      </w:r>
      <w:r>
        <w:rPr>
          <w:rFonts w:hint="eastAsia" w:ascii="宋体" w:hAnsi="宋体" w:cs="宋体"/>
          <w:kern w:val="0"/>
          <w:sz w:val="32"/>
          <w:szCs w:val="32"/>
        </w:rPr>
        <w:t>2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4</w:t>
      </w:r>
      <w:r>
        <w:rPr>
          <w:rFonts w:ascii="宋体" w:hAnsi="宋体" w:cs="宋体"/>
          <w:kern w:val="0"/>
          <w:sz w:val="32"/>
          <w:szCs w:val="32"/>
        </w:rPr>
        <w:t>年我区税收返还</w:t>
      </w:r>
      <w:r>
        <w:rPr>
          <w:rFonts w:hint="eastAsia" w:ascii="宋体" w:hAnsi="宋体" w:cs="宋体"/>
          <w:kern w:val="0"/>
          <w:sz w:val="32"/>
          <w:szCs w:val="32"/>
        </w:rPr>
        <w:t>预</w:t>
      </w:r>
      <w:r>
        <w:rPr>
          <w:rFonts w:ascii="宋体" w:hAnsi="宋体" w:cs="宋体"/>
          <w:kern w:val="0"/>
          <w:sz w:val="32"/>
          <w:szCs w:val="32"/>
        </w:rPr>
        <w:t>算数为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13,006</w:t>
      </w:r>
      <w:r>
        <w:rPr>
          <w:rFonts w:ascii="宋体" w:hAnsi="宋体" w:cs="宋体"/>
          <w:kern w:val="0"/>
          <w:sz w:val="32"/>
          <w:szCs w:val="32"/>
        </w:rPr>
        <w:t>万元，20</w:t>
      </w:r>
      <w:r>
        <w:rPr>
          <w:rFonts w:hint="eastAsia" w:ascii="宋体" w:hAnsi="宋体" w:cs="宋体"/>
          <w:kern w:val="0"/>
          <w:sz w:val="32"/>
          <w:szCs w:val="32"/>
        </w:rPr>
        <w:t>2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4</w:t>
      </w:r>
      <w:r>
        <w:rPr>
          <w:rFonts w:ascii="宋体" w:hAnsi="宋体" w:cs="宋体"/>
          <w:kern w:val="0"/>
          <w:sz w:val="32"/>
          <w:szCs w:val="32"/>
        </w:rPr>
        <w:t>年我区上级一般性转移支付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61,261</w:t>
      </w:r>
      <w:r>
        <w:rPr>
          <w:rFonts w:ascii="宋体" w:hAnsi="宋体" w:cs="宋体"/>
          <w:kern w:val="0"/>
          <w:sz w:val="32"/>
          <w:szCs w:val="32"/>
        </w:rPr>
        <w:t>万元，</w:t>
      </w:r>
      <w:r>
        <w:rPr>
          <w:rFonts w:hint="eastAsia" w:ascii="宋体" w:hAnsi="宋体" w:cs="宋体"/>
          <w:kern w:val="0"/>
          <w:sz w:val="32"/>
          <w:szCs w:val="32"/>
        </w:rPr>
        <w:t xml:space="preserve"> </w:t>
      </w:r>
      <w:r>
        <w:rPr>
          <w:rFonts w:ascii="宋体" w:hAnsi="宋体" w:cs="宋体"/>
          <w:kern w:val="0"/>
          <w:sz w:val="32"/>
          <w:szCs w:val="32"/>
        </w:rPr>
        <w:t>专项转移支付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8,700</w:t>
      </w:r>
      <w:r>
        <w:rPr>
          <w:rFonts w:ascii="宋体" w:hAnsi="宋体" w:cs="宋体"/>
          <w:kern w:val="0"/>
          <w:sz w:val="32"/>
          <w:szCs w:val="32"/>
        </w:rPr>
        <w:t>万元。</w:t>
      </w:r>
    </w:p>
    <w:p>
      <w:pPr>
        <w:widowControl/>
        <w:jc w:val="left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/>
          <w:b/>
          <w:kern w:val="0"/>
          <w:sz w:val="32"/>
          <w:szCs w:val="32"/>
        </w:rPr>
        <w:t> </w:t>
      </w:r>
      <w:r>
        <w:rPr>
          <w:rFonts w:hint="eastAsia" w:ascii="宋体" w:hAnsi="宋体" w:cs="宋体"/>
          <w:b/>
          <w:kern w:val="0"/>
          <w:sz w:val="32"/>
          <w:szCs w:val="32"/>
        </w:rPr>
        <w:t xml:space="preserve"> </w:t>
      </w:r>
      <w:r>
        <w:rPr>
          <w:rFonts w:ascii="宋体" w:hAnsi="宋体" w:cs="宋体"/>
          <w:b/>
          <w:kern w:val="0"/>
          <w:sz w:val="32"/>
          <w:szCs w:val="32"/>
        </w:rPr>
        <w:t xml:space="preserve"> 二</w:t>
      </w:r>
      <w:r>
        <w:rPr>
          <w:rFonts w:hint="eastAsia" w:ascii="宋体" w:hAnsi="宋体" w:cs="宋体"/>
          <w:b/>
          <w:kern w:val="0"/>
          <w:sz w:val="32"/>
          <w:szCs w:val="32"/>
        </w:rPr>
        <w:t>、</w:t>
      </w:r>
      <w:r>
        <w:rPr>
          <w:rFonts w:ascii="宋体" w:hAnsi="宋体" w:cs="宋体"/>
          <w:b/>
          <w:kern w:val="0"/>
          <w:sz w:val="32"/>
          <w:szCs w:val="32"/>
        </w:rPr>
        <w:t>举债情况</w:t>
      </w:r>
    </w:p>
    <w:p>
      <w:pPr>
        <w:widowControl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> </w:t>
      </w:r>
      <w:r>
        <w:rPr>
          <w:rFonts w:hint="eastAsia" w:ascii="宋体" w:hAnsi="宋体" w:cs="宋体"/>
          <w:kern w:val="0"/>
          <w:sz w:val="32"/>
          <w:szCs w:val="32"/>
        </w:rPr>
        <w:t xml:space="preserve">  </w:t>
      </w:r>
      <w:r>
        <w:rPr>
          <w:rFonts w:ascii="宋体" w:hAnsi="宋体" w:cs="宋体"/>
          <w:kern w:val="0"/>
          <w:sz w:val="32"/>
          <w:szCs w:val="32"/>
        </w:rPr>
        <w:t>20</w:t>
      </w:r>
      <w:r>
        <w:rPr>
          <w:rFonts w:hint="eastAsia" w:ascii="宋体" w:hAnsi="宋体" w:cs="宋体"/>
          <w:kern w:val="0"/>
          <w:sz w:val="32"/>
          <w:szCs w:val="32"/>
        </w:rPr>
        <w:t>2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kern w:val="0"/>
          <w:sz w:val="32"/>
          <w:szCs w:val="32"/>
        </w:rPr>
        <w:t>年</w:t>
      </w:r>
      <w:r>
        <w:rPr>
          <w:rFonts w:ascii="宋体" w:hAnsi="宋体" w:cs="宋体"/>
          <w:kern w:val="0"/>
          <w:sz w:val="32"/>
          <w:szCs w:val="32"/>
        </w:rPr>
        <w:t>，我区政府性债务期初余额为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405,709</w:t>
      </w:r>
      <w:r>
        <w:rPr>
          <w:rFonts w:hint="eastAsia" w:ascii="宋体" w:hAnsi="宋体" w:cs="宋体"/>
          <w:kern w:val="0"/>
          <w:sz w:val="32"/>
          <w:szCs w:val="32"/>
        </w:rPr>
        <w:t>万</w:t>
      </w:r>
      <w:r>
        <w:rPr>
          <w:rFonts w:ascii="宋体" w:hAnsi="宋体" w:cs="宋体"/>
          <w:kern w:val="0"/>
          <w:sz w:val="32"/>
          <w:szCs w:val="32"/>
        </w:rPr>
        <w:t xml:space="preserve">元， </w:t>
      </w:r>
      <w:r>
        <w:rPr>
          <w:rFonts w:hint="eastAsia" w:ascii="宋体" w:hAnsi="宋体" w:cs="宋体"/>
          <w:kern w:val="0"/>
          <w:sz w:val="32"/>
          <w:szCs w:val="32"/>
        </w:rPr>
        <w:t>其中：一般债券余额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288,009</w:t>
      </w:r>
      <w:r>
        <w:rPr>
          <w:rFonts w:hint="eastAsia" w:ascii="宋体" w:hAnsi="宋体" w:cs="宋体"/>
          <w:kern w:val="0"/>
          <w:sz w:val="32"/>
          <w:szCs w:val="32"/>
        </w:rPr>
        <w:t>万元，专项债券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106,800</w:t>
      </w:r>
      <w:r>
        <w:rPr>
          <w:rFonts w:hint="eastAsia" w:ascii="宋体" w:hAnsi="宋体" w:cs="宋体"/>
          <w:kern w:val="0"/>
          <w:sz w:val="32"/>
          <w:szCs w:val="32"/>
        </w:rPr>
        <w:t>万元。</w:t>
      </w:r>
      <w:r>
        <w:rPr>
          <w:rFonts w:hint="eastAsia" w:ascii="宋体" w:hAnsi="宋体" w:cs="宋体"/>
          <w:kern w:val="0"/>
          <w:sz w:val="32"/>
          <w:szCs w:val="32"/>
          <w:lang w:eastAsia="zh-CN"/>
        </w:rPr>
        <w:t>今年一般债券预计偿还本金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1,780万元。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FjMmUwYWY3NjdiNzdlZTRjZGFmYTJkNWRlMzkyYzIifQ=="/>
  </w:docVars>
  <w:rsids>
    <w:rsidRoot w:val="00000000"/>
    <w:rsid w:val="3CFA38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179</Characters>
  <Lines>1</Lines>
  <Paragraphs>1</Paragraphs>
  <TotalTime>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2017-05-03T06:26:00Z</dcterms:created>
  <dc:creator>52718</dc:creator>
  <cp:lastModifiedBy>董典华</cp:lastModifiedBy>
  <dcterms:modified xsi:type="dcterms:W3CDTF">2024-04-15T08:22:38Z</dcterms:modified>
  <dc:title>   2021年宽城区税收返还、转移支付及举债情况说明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2DCB01ECD0B24C2D9AB50933DD3ABAF6_12</vt:lpwstr>
  </property>
</Properties>
</file>