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5091D">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723" w:firstLineChars="200"/>
        <w:jc w:val="center"/>
        <w:textAlignment w:val="baseline"/>
        <w:rPr>
          <w:rFonts w:hint="eastAsia" w:ascii="宋体" w:hAnsi="宋体" w:eastAsia="方正小标宋简体" w:cs="方正小标宋简体"/>
          <w:b/>
          <w:bCs/>
          <w:i w:val="0"/>
          <w:iCs w:val="0"/>
          <w:caps w:val="0"/>
          <w:color w:val="333333"/>
          <w:spacing w:val="0"/>
          <w:sz w:val="36"/>
          <w:szCs w:val="36"/>
          <w:shd w:val="clear" w:fill="FFFFFF"/>
          <w:lang w:eastAsia="zh-CN"/>
        </w:rPr>
      </w:pPr>
    </w:p>
    <w:p w14:paraId="20FAFAB8">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723" w:firstLineChars="200"/>
        <w:jc w:val="center"/>
        <w:textAlignment w:val="baseline"/>
        <w:rPr>
          <w:rFonts w:hint="eastAsia" w:ascii="宋体" w:hAnsi="宋体" w:eastAsia="方正小标宋简体" w:cs="方正小标宋简体"/>
          <w:b/>
          <w:bCs/>
          <w:i w:val="0"/>
          <w:iCs w:val="0"/>
          <w:caps w:val="0"/>
          <w:color w:val="333333"/>
          <w:spacing w:val="0"/>
          <w:sz w:val="36"/>
          <w:szCs w:val="36"/>
          <w:shd w:val="clear" w:fill="FFFFFF"/>
          <w:lang w:eastAsia="zh-CN"/>
        </w:rPr>
      </w:pPr>
    </w:p>
    <w:p w14:paraId="53B41A09">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723" w:firstLineChars="200"/>
        <w:jc w:val="center"/>
        <w:textAlignment w:val="baseline"/>
        <w:rPr>
          <w:rFonts w:hint="eastAsia" w:ascii="宋体" w:hAnsi="宋体" w:eastAsia="方正小标宋简体" w:cs="方正小标宋简体"/>
          <w:b/>
          <w:bCs/>
          <w:i w:val="0"/>
          <w:iCs w:val="0"/>
          <w:caps w:val="0"/>
          <w:color w:val="333333"/>
          <w:spacing w:val="0"/>
          <w:sz w:val="36"/>
          <w:szCs w:val="36"/>
          <w:shd w:val="clear" w:fill="FFFFFF"/>
          <w:lang w:eastAsia="zh-CN"/>
        </w:rPr>
      </w:pPr>
    </w:p>
    <w:p w14:paraId="36E7A73D">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0" w:firstLineChars="0"/>
        <w:jc w:val="center"/>
        <w:textAlignment w:val="baseline"/>
        <w:outlineLvl w:val="0"/>
        <w:rPr>
          <w:rFonts w:hint="eastAsia" w:ascii="宋体" w:hAnsi="宋体" w:eastAsia="方正小标宋简体" w:cs="方正小标宋简体"/>
          <w:bCs/>
          <w:snapToGrid/>
          <w:kern w:val="2"/>
          <w:sz w:val="44"/>
          <w:szCs w:val="44"/>
          <w:lang w:val="en-US" w:eastAsia="zh-CN" w:bidi="ar-SA"/>
        </w:rPr>
      </w:pPr>
      <w:bookmarkStart w:id="0" w:name="_Toc1753"/>
      <w:r>
        <w:rPr>
          <w:rFonts w:hint="eastAsia" w:ascii="宋体" w:hAnsi="宋体" w:eastAsia="方正小标宋简体" w:cs="方正小标宋简体"/>
          <w:bCs/>
          <w:snapToGrid/>
          <w:kern w:val="2"/>
          <w:sz w:val="44"/>
          <w:szCs w:val="44"/>
          <w:lang w:val="en-US" w:eastAsia="zh-CN" w:bidi="ar-SA"/>
        </w:rPr>
        <w:t>长春市宽城区医院异地建设项目</w:t>
      </w:r>
      <w:bookmarkEnd w:id="0"/>
    </w:p>
    <w:p w14:paraId="32CE4FE6">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0" w:firstLineChars="0"/>
        <w:jc w:val="center"/>
        <w:textAlignment w:val="baseline"/>
        <w:outlineLvl w:val="0"/>
        <w:rPr>
          <w:rFonts w:hint="eastAsia" w:ascii="宋体" w:hAnsi="宋体" w:eastAsia="方正小标宋简体" w:cs="方正小标宋简体"/>
          <w:bCs/>
          <w:snapToGrid/>
          <w:kern w:val="2"/>
          <w:sz w:val="44"/>
          <w:szCs w:val="44"/>
          <w:lang w:val="en-US" w:eastAsia="zh-CN" w:bidi="ar-SA"/>
        </w:rPr>
      </w:pPr>
      <w:bookmarkStart w:id="1" w:name="_Toc5720"/>
      <w:r>
        <w:rPr>
          <w:rFonts w:hint="eastAsia" w:ascii="宋体" w:hAnsi="宋体" w:eastAsia="方正小标宋简体" w:cs="方正小标宋简体"/>
          <w:bCs/>
          <w:snapToGrid/>
          <w:kern w:val="2"/>
          <w:sz w:val="44"/>
          <w:szCs w:val="44"/>
          <w:lang w:val="en-US" w:eastAsia="zh-CN" w:bidi="ar-SA"/>
        </w:rPr>
        <w:t>绩效评价报告</w:t>
      </w:r>
      <w:bookmarkEnd w:id="1"/>
    </w:p>
    <w:p w14:paraId="41BA5377">
      <w:pPr>
        <w:keepNext w:val="0"/>
        <w:keepLines w:val="0"/>
        <w:pageBreakBefore w:val="0"/>
        <w:widowControl w:val="0"/>
        <w:wordWrap/>
        <w:overflowPunct/>
        <w:topLinePunct w:val="0"/>
        <w:bidi w:val="0"/>
        <w:spacing w:line="360" w:lineRule="auto"/>
        <w:ind w:firstLine="880" w:firstLineChars="200"/>
        <w:textAlignment w:val="baseline"/>
        <w:rPr>
          <w:rFonts w:hint="eastAsia" w:ascii="宋体" w:hAnsi="宋体" w:eastAsia="方正小标宋简体" w:cs="方正小标宋简体"/>
          <w:bCs/>
          <w:snapToGrid/>
          <w:kern w:val="2"/>
          <w:sz w:val="44"/>
          <w:szCs w:val="44"/>
          <w:lang w:val="en-US" w:eastAsia="zh-CN" w:bidi="ar-SA"/>
        </w:rPr>
      </w:pPr>
    </w:p>
    <w:p w14:paraId="03BB07E2">
      <w:pPr>
        <w:keepNext w:val="0"/>
        <w:keepLines w:val="0"/>
        <w:pageBreakBefore w:val="0"/>
        <w:widowControl w:val="0"/>
        <w:wordWrap/>
        <w:overflowPunct/>
        <w:topLinePunct w:val="0"/>
        <w:bidi w:val="0"/>
        <w:spacing w:line="360" w:lineRule="auto"/>
        <w:ind w:firstLine="420" w:firstLineChars="200"/>
        <w:textAlignment w:val="baseline"/>
        <w:rPr>
          <w:rFonts w:hint="eastAsia" w:ascii="宋体" w:hAnsi="宋体" w:eastAsia="宋体"/>
          <w:sz w:val="21"/>
          <w:lang w:eastAsia="zh-CN"/>
        </w:rPr>
      </w:pPr>
    </w:p>
    <w:p w14:paraId="01B5C974">
      <w:pPr>
        <w:keepNext w:val="0"/>
        <w:keepLines w:val="0"/>
        <w:pageBreakBefore w:val="0"/>
        <w:widowControl w:val="0"/>
        <w:wordWrap/>
        <w:overflowPunct/>
        <w:topLinePunct w:val="0"/>
        <w:bidi w:val="0"/>
        <w:spacing w:line="360" w:lineRule="auto"/>
        <w:ind w:firstLine="420" w:firstLineChars="200"/>
        <w:textAlignment w:val="baseline"/>
        <w:rPr>
          <w:rFonts w:hint="eastAsia" w:ascii="宋体" w:hAnsi="宋体" w:eastAsia="宋体"/>
          <w:sz w:val="21"/>
          <w:lang w:eastAsia="zh-CN"/>
        </w:rPr>
      </w:pPr>
    </w:p>
    <w:p w14:paraId="21001727">
      <w:pPr>
        <w:keepNext w:val="0"/>
        <w:keepLines w:val="0"/>
        <w:pageBreakBefore w:val="0"/>
        <w:widowControl w:val="0"/>
        <w:wordWrap/>
        <w:overflowPunct/>
        <w:topLinePunct w:val="0"/>
        <w:bidi w:val="0"/>
        <w:spacing w:line="360" w:lineRule="auto"/>
        <w:ind w:firstLine="420" w:firstLineChars="200"/>
        <w:textAlignment w:val="baseline"/>
        <w:rPr>
          <w:rFonts w:hint="eastAsia" w:ascii="宋体" w:hAnsi="宋体" w:eastAsia="宋体"/>
          <w:sz w:val="21"/>
          <w:lang w:eastAsia="zh-CN"/>
        </w:rPr>
      </w:pPr>
    </w:p>
    <w:p w14:paraId="44AB0EB2">
      <w:pPr>
        <w:keepNext w:val="0"/>
        <w:keepLines w:val="0"/>
        <w:pageBreakBefore w:val="0"/>
        <w:widowControl w:val="0"/>
        <w:wordWrap/>
        <w:overflowPunct/>
        <w:topLinePunct w:val="0"/>
        <w:bidi w:val="0"/>
        <w:spacing w:line="360" w:lineRule="auto"/>
        <w:ind w:firstLine="420" w:firstLineChars="200"/>
        <w:textAlignment w:val="baseline"/>
        <w:rPr>
          <w:rFonts w:hint="eastAsia" w:ascii="宋体" w:hAnsi="宋体" w:eastAsia="宋体"/>
          <w:sz w:val="21"/>
          <w:lang w:eastAsia="zh-CN"/>
        </w:rPr>
      </w:pPr>
    </w:p>
    <w:p w14:paraId="459605BE">
      <w:pPr>
        <w:keepNext w:val="0"/>
        <w:keepLines w:val="0"/>
        <w:pageBreakBefore w:val="0"/>
        <w:widowControl w:val="0"/>
        <w:wordWrap/>
        <w:overflowPunct/>
        <w:topLinePunct w:val="0"/>
        <w:bidi w:val="0"/>
        <w:spacing w:line="360" w:lineRule="auto"/>
        <w:ind w:firstLine="420" w:firstLineChars="200"/>
        <w:textAlignment w:val="baseline"/>
        <w:rPr>
          <w:rFonts w:hint="eastAsia" w:ascii="宋体" w:hAnsi="宋体" w:eastAsia="宋体"/>
          <w:sz w:val="21"/>
          <w:lang w:eastAsia="zh-CN"/>
        </w:rPr>
      </w:pPr>
    </w:p>
    <w:p w14:paraId="0345901C">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00" w:firstLineChars="200"/>
        <w:jc w:val="right"/>
        <w:textAlignment w:val="baseline"/>
        <w:rPr>
          <w:rFonts w:hint="eastAsia" w:ascii="宋体" w:hAnsi="宋体" w:eastAsia="方正小标宋简体" w:cs="方正小标宋简体"/>
          <w:b w:val="0"/>
          <w:bCs/>
          <w:snapToGrid/>
          <w:kern w:val="2"/>
          <w:sz w:val="30"/>
          <w:szCs w:val="30"/>
          <w:lang w:val="en-US" w:eastAsia="zh-CN" w:bidi="ar-SA"/>
        </w:rPr>
      </w:pPr>
    </w:p>
    <w:p w14:paraId="29256871">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 w:beforeAutospacing="0" w:after="0" w:afterLines="150" w:afterAutospacing="0" w:line="360" w:lineRule="auto"/>
        <w:ind w:left="0" w:right="0" w:firstLine="640" w:firstLineChars="200"/>
        <w:jc w:val="left"/>
        <w:textAlignment w:val="baseline"/>
        <w:rPr>
          <w:rFonts w:hint="eastAsia" w:ascii="黑体" w:hAnsi="黑体" w:eastAsia="黑体" w:cs="黑体"/>
          <w:b w:val="0"/>
          <w:bCs/>
          <w:snapToGrid/>
          <w:kern w:val="2"/>
          <w:sz w:val="32"/>
          <w:szCs w:val="32"/>
          <w:lang w:val="en-US" w:eastAsia="zh-CN" w:bidi="ar-SA"/>
        </w:rPr>
      </w:pPr>
      <w:r>
        <w:rPr>
          <w:rFonts w:hint="eastAsia" w:ascii="黑体" w:hAnsi="黑体" w:eastAsia="黑体" w:cs="黑体"/>
          <w:b w:val="0"/>
          <w:bCs/>
          <w:snapToGrid/>
          <w:kern w:val="2"/>
          <w:sz w:val="32"/>
          <w:szCs w:val="32"/>
          <w:lang w:val="en-US" w:eastAsia="zh-CN" w:bidi="ar-SA"/>
        </w:rPr>
        <w:t>项目名称：长春市宽城区医院异地建设项目</w:t>
      </w:r>
    </w:p>
    <w:p w14:paraId="61BAB16E">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 w:beforeAutospacing="0" w:after="0" w:afterLines="150" w:afterAutospacing="0" w:line="360" w:lineRule="auto"/>
        <w:ind w:left="0" w:right="0" w:firstLine="640" w:firstLineChars="200"/>
        <w:jc w:val="left"/>
        <w:textAlignment w:val="baseline"/>
        <w:rPr>
          <w:rFonts w:hint="eastAsia" w:ascii="黑体" w:hAnsi="黑体" w:eastAsia="黑体" w:cs="黑体"/>
          <w:b w:val="0"/>
          <w:bCs/>
          <w:snapToGrid/>
          <w:kern w:val="2"/>
          <w:sz w:val="32"/>
          <w:szCs w:val="32"/>
          <w:lang w:val="en-US" w:eastAsia="zh-CN" w:bidi="ar-SA"/>
        </w:rPr>
      </w:pPr>
      <w:r>
        <w:rPr>
          <w:rFonts w:hint="eastAsia" w:ascii="黑体" w:hAnsi="黑体" w:eastAsia="黑体" w:cs="黑体"/>
          <w:b w:val="0"/>
          <w:bCs/>
          <w:snapToGrid/>
          <w:kern w:val="2"/>
          <w:sz w:val="32"/>
          <w:szCs w:val="32"/>
          <w:lang w:val="en-US" w:eastAsia="zh-CN" w:bidi="ar-SA"/>
        </w:rPr>
        <w:t>主管部门：长春市宽城区卫生健康局</w:t>
      </w:r>
    </w:p>
    <w:p w14:paraId="048C0B3A">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 w:beforeAutospacing="0" w:after="0" w:afterLines="150" w:afterAutospacing="0" w:line="360" w:lineRule="auto"/>
        <w:ind w:left="0" w:right="0" w:firstLine="640" w:firstLineChars="200"/>
        <w:jc w:val="left"/>
        <w:textAlignment w:val="baseline"/>
        <w:rPr>
          <w:rFonts w:hint="default" w:ascii="黑体" w:hAnsi="黑体" w:eastAsia="黑体" w:cs="黑体"/>
          <w:b w:val="0"/>
          <w:bCs/>
          <w:snapToGrid/>
          <w:kern w:val="2"/>
          <w:sz w:val="32"/>
          <w:szCs w:val="32"/>
          <w:lang w:val="en-US" w:eastAsia="zh-CN" w:bidi="ar-SA"/>
        </w:rPr>
      </w:pPr>
      <w:r>
        <w:rPr>
          <w:rFonts w:hint="eastAsia" w:ascii="黑体" w:hAnsi="黑体" w:eastAsia="黑体" w:cs="黑体"/>
          <w:b w:val="0"/>
          <w:bCs/>
          <w:snapToGrid/>
          <w:kern w:val="2"/>
          <w:sz w:val="32"/>
          <w:szCs w:val="32"/>
          <w:lang w:val="en-US" w:eastAsia="zh-CN" w:bidi="ar-SA"/>
        </w:rPr>
        <w:t>委托单位：长春宽城经济开发区</w:t>
      </w:r>
      <w:r>
        <w:rPr>
          <w:rFonts w:hint="eastAsia" w:ascii="黑体" w:hAnsi="黑体" w:eastAsia="黑体" w:cs="黑体"/>
          <w:b w:val="0"/>
          <w:bCs/>
          <w:snapToGrid/>
          <w:kern w:val="2"/>
          <w:sz w:val="32"/>
          <w:szCs w:val="32"/>
          <w:highlight w:val="none"/>
          <w:lang w:val="en-US" w:eastAsia="zh-CN" w:bidi="ar-SA"/>
        </w:rPr>
        <w:t>管理委员会</w:t>
      </w:r>
    </w:p>
    <w:p w14:paraId="53ADA36B">
      <w:pPr>
        <w:keepNext w:val="0"/>
        <w:keepLines w:val="0"/>
        <w:pageBreakBefore w:val="0"/>
        <w:widowControl w:val="0"/>
        <w:tabs>
          <w:tab w:val="right" w:leader="dot" w:pos="8702"/>
        </w:tabs>
        <w:wordWrap/>
        <w:overflowPunct/>
        <w:topLinePunct w:val="0"/>
        <w:bidi w:val="0"/>
        <w:spacing w:before="10" w:after="0" w:afterLines="150" w:line="360" w:lineRule="auto"/>
        <w:ind w:left="8" w:firstLine="640" w:firstLineChars="200"/>
        <w:textAlignment w:val="baseline"/>
        <w:rPr>
          <w:rFonts w:hint="eastAsia" w:ascii="黑体" w:hAnsi="黑体" w:eastAsia="黑体" w:cs="黑体"/>
          <w:b w:val="0"/>
          <w:bCs/>
          <w:snapToGrid/>
          <w:kern w:val="2"/>
          <w:sz w:val="32"/>
          <w:szCs w:val="32"/>
          <w:lang w:val="en-US" w:eastAsia="zh-CN" w:bidi="ar-SA"/>
        </w:rPr>
      </w:pPr>
      <w:r>
        <w:rPr>
          <w:rFonts w:hint="eastAsia" w:ascii="黑体" w:hAnsi="黑体" w:eastAsia="黑体" w:cs="黑体"/>
          <w:b w:val="0"/>
          <w:bCs/>
          <w:snapToGrid/>
          <w:kern w:val="2"/>
          <w:sz w:val="32"/>
          <w:szCs w:val="32"/>
          <w:lang w:val="en-US" w:eastAsia="zh-CN" w:bidi="ar-SA"/>
        </w:rPr>
        <w:t>评价机构：长春岳华会计师事务所（普通合伙）</w:t>
      </w:r>
    </w:p>
    <w:p w14:paraId="33303590">
      <w:pPr>
        <w:keepNext w:val="0"/>
        <w:keepLines w:val="0"/>
        <w:pageBreakBefore w:val="0"/>
        <w:widowControl w:val="0"/>
        <w:tabs>
          <w:tab w:val="right" w:leader="dot" w:pos="8702"/>
        </w:tabs>
        <w:wordWrap/>
        <w:overflowPunct/>
        <w:topLinePunct w:val="0"/>
        <w:bidi w:val="0"/>
        <w:spacing w:before="101" w:line="360" w:lineRule="auto"/>
        <w:ind w:left="8" w:firstLine="600" w:firstLineChars="200"/>
        <w:textAlignment w:val="baseline"/>
        <w:rPr>
          <w:rFonts w:hint="eastAsia" w:ascii="宋体" w:hAnsi="宋体" w:eastAsia="方正小标宋简体" w:cs="方正小标宋简体"/>
          <w:b w:val="0"/>
          <w:bCs/>
          <w:snapToGrid/>
          <w:kern w:val="2"/>
          <w:sz w:val="30"/>
          <w:szCs w:val="30"/>
          <w:lang w:val="en-US" w:eastAsia="zh-CN" w:bidi="ar-SA"/>
        </w:rPr>
      </w:pPr>
    </w:p>
    <w:p w14:paraId="7C9E9EB5">
      <w:pPr>
        <w:keepNext w:val="0"/>
        <w:keepLines w:val="0"/>
        <w:pageBreakBefore w:val="0"/>
        <w:widowControl w:val="0"/>
        <w:tabs>
          <w:tab w:val="right" w:leader="dot" w:pos="8702"/>
        </w:tabs>
        <w:wordWrap/>
        <w:overflowPunct/>
        <w:topLinePunct w:val="0"/>
        <w:bidi w:val="0"/>
        <w:spacing w:before="101" w:line="360" w:lineRule="auto"/>
        <w:ind w:left="8" w:firstLine="640" w:firstLineChars="200"/>
        <w:jc w:val="center"/>
        <w:textAlignment w:val="baseline"/>
        <w:rPr>
          <w:rFonts w:hint="eastAsia" w:ascii="黑体" w:hAnsi="黑体" w:eastAsia="黑体" w:cs="黑体"/>
          <w:b w:val="0"/>
          <w:bCs/>
          <w:snapToGrid/>
          <w:kern w:val="2"/>
          <w:sz w:val="32"/>
          <w:szCs w:val="32"/>
          <w:lang w:val="en-US" w:eastAsia="zh-CN" w:bidi="ar-SA"/>
        </w:rPr>
      </w:pPr>
      <w:r>
        <w:rPr>
          <w:rFonts w:hint="eastAsia" w:ascii="黑体" w:hAnsi="黑体" w:eastAsia="黑体" w:cs="黑体"/>
          <w:b w:val="0"/>
          <w:bCs/>
          <w:snapToGrid/>
          <w:kern w:val="2"/>
          <w:sz w:val="32"/>
          <w:szCs w:val="32"/>
          <w:lang w:val="en-US" w:eastAsia="zh-CN" w:bidi="ar-SA"/>
        </w:rPr>
        <w:t>二〇二五年五月</w:t>
      </w:r>
    </w:p>
    <w:p w14:paraId="62746767">
      <w:pPr>
        <w:pageBreakBefore w:val="0"/>
        <w:widowControl w:val="0"/>
        <w:wordWrap/>
        <w:overflowPunct/>
        <w:topLinePunct w:val="0"/>
        <w:bidi w:val="0"/>
        <w:ind w:left="0" w:leftChars="0" w:firstLine="0" w:firstLineChars="0"/>
        <w:textAlignment w:val="baseline"/>
        <w:rPr>
          <w:rFonts w:hint="eastAsia" w:ascii="宋体" w:hAnsi="宋体" w:eastAsia="方正小标宋简体" w:cs="方正小标宋简体"/>
          <w:spacing w:val="-4"/>
          <w:sz w:val="36"/>
          <w:szCs w:val="36"/>
          <w:lang w:val="en-US" w:eastAsia="zh-CN"/>
          <w14:textOutline w14:w="7972" w14:cap="sq" w14:cmpd="sng">
            <w14:solidFill>
              <w14:srgbClr w14:val="000000"/>
            </w14:solidFill>
            <w14:prstDash w14:val="solid"/>
            <w14:bevel/>
          </w14:textOutline>
        </w:rPr>
      </w:pPr>
    </w:p>
    <w:sdt>
      <w:sdtPr>
        <w:rPr>
          <w:rFonts w:ascii="宋体" w:hAnsi="宋体" w:eastAsia="宋体" w:cs="Arial"/>
          <w:snapToGrid w:val="0"/>
          <w:color w:val="000000"/>
          <w:kern w:val="0"/>
          <w:sz w:val="21"/>
          <w:szCs w:val="21"/>
        </w:rPr>
        <w:id w:val="147465836"/>
        <w15:color w:val="DBDBDB"/>
        <w:docPartObj>
          <w:docPartGallery w:val="Table of Contents"/>
          <w:docPartUnique/>
        </w:docPartObj>
      </w:sdtPr>
      <w:sdtEndPr>
        <w:rPr>
          <w:rFonts w:ascii="宋体" w:hAnsi="宋体" w:eastAsia="宋体" w:cs="Arial"/>
          <w:snapToGrid w:val="0"/>
          <w:color w:val="000000"/>
          <w:kern w:val="0"/>
          <w:sz w:val="21"/>
          <w:szCs w:val="21"/>
        </w:rPr>
      </w:sdtEndPr>
      <w:sdtContent>
        <w:p w14:paraId="1C4F9C1E">
          <w:pPr>
            <w:keepNext w:val="0"/>
            <w:keepLines w:val="0"/>
            <w:pageBreakBefore w:val="0"/>
            <w:widowControl/>
            <w:kinsoku w:val="0"/>
            <w:wordWrap/>
            <w:overflowPunct/>
            <w:topLinePunct w:val="0"/>
            <w:autoSpaceDE w:val="0"/>
            <w:autoSpaceDN w:val="0"/>
            <w:bidi w:val="0"/>
            <w:adjustRightInd w:val="0"/>
            <w:snapToGrid w:val="0"/>
            <w:spacing w:before="0" w:beforeLines="150" w:after="0" w:afterLines="150" w:line="240" w:lineRule="auto"/>
            <w:ind w:left="0" w:leftChars="0" w:right="0" w:rightChars="0" w:firstLine="0" w:firstLineChars="0"/>
            <w:jc w:val="center"/>
            <w:textAlignment w:val="baseline"/>
            <w:rPr>
              <w:rFonts w:ascii="宋体" w:hAnsi="宋体"/>
            </w:rPr>
          </w:pPr>
          <w:r>
            <w:rPr>
              <w:rFonts w:hint="eastAsia" w:ascii="宋体" w:hAnsi="宋体" w:eastAsia="方正小标宋简体" w:cs="方正小标宋简体"/>
              <w:sz w:val="36"/>
              <w:szCs w:val="36"/>
            </w:rPr>
            <w:t>目录</w:t>
          </w:r>
        </w:p>
        <w:p w14:paraId="355DA310">
          <w:pPr>
            <w:pStyle w:val="9"/>
            <w:tabs>
              <w:tab w:val="right" w:leader="dot" w:pos="8306"/>
            </w:tabs>
          </w:pPr>
          <w:r>
            <w:rPr>
              <w:rFonts w:ascii="宋体" w:hAnsi="宋体"/>
            </w:rPr>
            <w:fldChar w:fldCharType="begin"/>
          </w:r>
          <w:r>
            <w:rPr>
              <w:rFonts w:ascii="宋体" w:hAnsi="宋体"/>
            </w:rPr>
            <w:instrText xml:space="preserve">TOC \o "1-3" \h \u </w:instrText>
          </w:r>
          <w:r>
            <w:rPr>
              <w:rFonts w:ascii="宋体" w:hAnsi="宋体"/>
            </w:rPr>
            <w:fldChar w:fldCharType="separate"/>
          </w:r>
          <w:r>
            <w:rPr>
              <w:rFonts w:ascii="宋体" w:hAnsi="宋体"/>
              <w:b w:val="0"/>
              <w:bCs w:val="0"/>
            </w:rPr>
            <w:fldChar w:fldCharType="begin"/>
          </w:r>
          <w:r>
            <w:rPr>
              <w:rFonts w:ascii="宋体" w:hAnsi="宋体"/>
              <w:b w:val="0"/>
              <w:bCs w:val="0"/>
            </w:rPr>
            <w:instrText xml:space="preserve"> HYPERLINK \l _Toc1753 </w:instrText>
          </w:r>
          <w:r>
            <w:rPr>
              <w:rFonts w:ascii="宋体" w:hAnsi="宋体"/>
              <w:b w:val="0"/>
              <w:bCs w:val="0"/>
            </w:rPr>
            <w:fldChar w:fldCharType="separate"/>
          </w:r>
          <w:r>
            <w:rPr>
              <w:rFonts w:hint="eastAsia" w:ascii="宋体" w:hAnsi="宋体" w:eastAsia="方正小标宋简体" w:cs="方正小标宋简体"/>
              <w:b w:val="0"/>
              <w:bCs w:val="0"/>
              <w:snapToGrid/>
              <w:kern w:val="2"/>
              <w:szCs w:val="44"/>
              <w:lang w:val="en-US" w:eastAsia="zh-CN" w:bidi="ar-SA"/>
            </w:rPr>
            <w:t>长春市宽城区医院异地建设项目</w:t>
          </w:r>
          <w:r>
            <w:rPr>
              <w:b w:val="0"/>
              <w:bCs w:val="0"/>
            </w:rPr>
            <w:tab/>
          </w:r>
          <w:r>
            <w:rPr>
              <w:b w:val="0"/>
              <w:bCs w:val="0"/>
            </w:rPr>
            <w:fldChar w:fldCharType="begin"/>
          </w:r>
          <w:r>
            <w:rPr>
              <w:b w:val="0"/>
              <w:bCs w:val="0"/>
            </w:rPr>
            <w:instrText xml:space="preserve"> PAGEREF _Toc1753 \h </w:instrText>
          </w:r>
          <w:r>
            <w:rPr>
              <w:b w:val="0"/>
              <w:bCs w:val="0"/>
            </w:rPr>
            <w:fldChar w:fldCharType="separate"/>
          </w:r>
          <w:r>
            <w:rPr>
              <w:b w:val="0"/>
              <w:bCs w:val="0"/>
            </w:rPr>
            <w:t>1</w:t>
          </w:r>
          <w:r>
            <w:rPr>
              <w:b w:val="0"/>
              <w:bCs w:val="0"/>
            </w:rPr>
            <w:fldChar w:fldCharType="end"/>
          </w:r>
          <w:r>
            <w:rPr>
              <w:rFonts w:ascii="宋体" w:hAnsi="宋体"/>
              <w:b w:val="0"/>
              <w:bCs w:val="0"/>
            </w:rPr>
            <w:fldChar w:fldCharType="end"/>
          </w:r>
        </w:p>
        <w:p w14:paraId="274BD439">
          <w:pPr>
            <w:pStyle w:val="9"/>
            <w:tabs>
              <w:tab w:val="right" w:leader="dot" w:pos="8306"/>
            </w:tabs>
          </w:pPr>
          <w:r>
            <w:rPr>
              <w:rFonts w:ascii="宋体" w:hAnsi="宋体"/>
            </w:rPr>
            <w:fldChar w:fldCharType="begin"/>
          </w:r>
          <w:r>
            <w:rPr>
              <w:rFonts w:ascii="宋体" w:hAnsi="宋体"/>
            </w:rPr>
            <w:instrText xml:space="preserve"> HYPERLINK \l _Toc13332 </w:instrText>
          </w:r>
          <w:r>
            <w:rPr>
              <w:rFonts w:ascii="宋体" w:hAnsi="宋体"/>
            </w:rPr>
            <w:fldChar w:fldCharType="separate"/>
          </w:r>
          <w:r>
            <w:rPr>
              <w:rFonts w:hint="eastAsia" w:ascii="宋体" w:hAnsi="宋体"/>
              <w:lang w:val="en-US" w:eastAsia="zh-CN"/>
            </w:rPr>
            <w:t>一、项目概况</w:t>
          </w:r>
          <w:r>
            <w:tab/>
          </w:r>
          <w:r>
            <w:fldChar w:fldCharType="begin"/>
          </w:r>
          <w:r>
            <w:instrText xml:space="preserve"> PAGEREF _Toc13332 \h </w:instrText>
          </w:r>
          <w:r>
            <w:fldChar w:fldCharType="separate"/>
          </w:r>
          <w:r>
            <w:t>2</w:t>
          </w:r>
          <w:r>
            <w:fldChar w:fldCharType="end"/>
          </w:r>
          <w:r>
            <w:rPr>
              <w:rFonts w:ascii="宋体" w:hAnsi="宋体"/>
            </w:rPr>
            <w:fldChar w:fldCharType="end"/>
          </w:r>
        </w:p>
        <w:p w14:paraId="108621A1">
          <w:pPr>
            <w:pStyle w:val="10"/>
            <w:tabs>
              <w:tab w:val="right" w:leader="dot" w:pos="8306"/>
            </w:tabs>
          </w:pPr>
          <w:r>
            <w:rPr>
              <w:rFonts w:ascii="宋体" w:hAnsi="宋体"/>
            </w:rPr>
            <w:fldChar w:fldCharType="begin"/>
          </w:r>
          <w:r>
            <w:rPr>
              <w:rFonts w:ascii="宋体" w:hAnsi="宋体"/>
            </w:rPr>
            <w:instrText xml:space="preserve"> HYPERLINK \l _Toc32104 </w:instrText>
          </w:r>
          <w:r>
            <w:rPr>
              <w:rFonts w:ascii="宋体" w:hAnsi="宋体"/>
            </w:rPr>
            <w:fldChar w:fldCharType="separate"/>
          </w:r>
          <w:r>
            <w:rPr>
              <w:rFonts w:hint="eastAsia" w:ascii="宋体" w:hAnsi="宋体"/>
              <w:lang w:val="en-US" w:eastAsia="zh-CN"/>
            </w:rPr>
            <w:t>（一）项目立项的背景和目标</w:t>
          </w:r>
          <w:r>
            <w:tab/>
          </w:r>
          <w:r>
            <w:fldChar w:fldCharType="begin"/>
          </w:r>
          <w:r>
            <w:instrText xml:space="preserve"> PAGEREF _Toc32104 \h </w:instrText>
          </w:r>
          <w:r>
            <w:fldChar w:fldCharType="separate"/>
          </w:r>
          <w:r>
            <w:t>2</w:t>
          </w:r>
          <w:r>
            <w:fldChar w:fldCharType="end"/>
          </w:r>
          <w:r>
            <w:rPr>
              <w:rFonts w:ascii="宋体" w:hAnsi="宋体"/>
            </w:rPr>
            <w:fldChar w:fldCharType="end"/>
          </w:r>
        </w:p>
        <w:p w14:paraId="7863A64E">
          <w:pPr>
            <w:pStyle w:val="7"/>
            <w:tabs>
              <w:tab w:val="right" w:leader="dot" w:pos="8306"/>
            </w:tabs>
          </w:pPr>
          <w:r>
            <w:rPr>
              <w:rFonts w:ascii="宋体" w:hAnsi="宋体"/>
            </w:rPr>
            <w:fldChar w:fldCharType="begin"/>
          </w:r>
          <w:r>
            <w:rPr>
              <w:rFonts w:ascii="宋体" w:hAnsi="宋体"/>
            </w:rPr>
            <w:instrText xml:space="preserve"> HYPERLINK \l _Toc25668 </w:instrText>
          </w:r>
          <w:r>
            <w:rPr>
              <w:rFonts w:ascii="宋体" w:hAnsi="宋体"/>
            </w:rPr>
            <w:fldChar w:fldCharType="separate"/>
          </w:r>
          <w:r>
            <w:rPr>
              <w:rFonts w:hint="eastAsia" w:ascii="宋体" w:hAnsi="宋体"/>
              <w:lang w:val="en-US" w:eastAsia="zh-CN"/>
            </w:rPr>
            <w:t>1.项目立项的背景</w:t>
          </w:r>
          <w:r>
            <w:tab/>
          </w:r>
          <w:r>
            <w:fldChar w:fldCharType="begin"/>
          </w:r>
          <w:r>
            <w:instrText xml:space="preserve"> PAGEREF _Toc25668 \h </w:instrText>
          </w:r>
          <w:r>
            <w:fldChar w:fldCharType="separate"/>
          </w:r>
          <w:r>
            <w:t>2</w:t>
          </w:r>
          <w:r>
            <w:fldChar w:fldCharType="end"/>
          </w:r>
          <w:r>
            <w:rPr>
              <w:rFonts w:ascii="宋体" w:hAnsi="宋体"/>
            </w:rPr>
            <w:fldChar w:fldCharType="end"/>
          </w:r>
        </w:p>
        <w:p w14:paraId="13463131">
          <w:pPr>
            <w:pStyle w:val="7"/>
            <w:tabs>
              <w:tab w:val="right" w:leader="dot" w:pos="8306"/>
            </w:tabs>
          </w:pPr>
          <w:r>
            <w:rPr>
              <w:rFonts w:ascii="宋体" w:hAnsi="宋体"/>
            </w:rPr>
            <w:fldChar w:fldCharType="begin"/>
          </w:r>
          <w:r>
            <w:rPr>
              <w:rFonts w:ascii="宋体" w:hAnsi="宋体"/>
            </w:rPr>
            <w:instrText xml:space="preserve"> HYPERLINK \l _Toc10199 </w:instrText>
          </w:r>
          <w:r>
            <w:rPr>
              <w:rFonts w:ascii="宋体" w:hAnsi="宋体"/>
            </w:rPr>
            <w:fldChar w:fldCharType="separate"/>
          </w:r>
          <w:r>
            <w:rPr>
              <w:rFonts w:hint="eastAsia" w:ascii="宋体" w:hAnsi="宋体"/>
              <w:lang w:val="en-US" w:eastAsia="zh-CN"/>
            </w:rPr>
            <w:t>2.项目实施单位基本情况</w:t>
          </w:r>
          <w:r>
            <w:tab/>
          </w:r>
          <w:r>
            <w:fldChar w:fldCharType="begin"/>
          </w:r>
          <w:r>
            <w:instrText xml:space="preserve"> PAGEREF _Toc10199 \h </w:instrText>
          </w:r>
          <w:r>
            <w:fldChar w:fldCharType="separate"/>
          </w:r>
          <w:r>
            <w:t>3</w:t>
          </w:r>
          <w:r>
            <w:fldChar w:fldCharType="end"/>
          </w:r>
          <w:r>
            <w:rPr>
              <w:rFonts w:ascii="宋体" w:hAnsi="宋体"/>
            </w:rPr>
            <w:fldChar w:fldCharType="end"/>
          </w:r>
        </w:p>
        <w:p w14:paraId="375FF340">
          <w:pPr>
            <w:pStyle w:val="7"/>
            <w:tabs>
              <w:tab w:val="right" w:leader="dot" w:pos="8306"/>
            </w:tabs>
          </w:pPr>
          <w:r>
            <w:rPr>
              <w:rFonts w:ascii="宋体" w:hAnsi="宋体"/>
            </w:rPr>
            <w:fldChar w:fldCharType="begin"/>
          </w:r>
          <w:r>
            <w:rPr>
              <w:rFonts w:ascii="宋体" w:hAnsi="宋体"/>
            </w:rPr>
            <w:instrText xml:space="preserve"> HYPERLINK \l _Toc29338 </w:instrText>
          </w:r>
          <w:r>
            <w:rPr>
              <w:rFonts w:ascii="宋体" w:hAnsi="宋体"/>
            </w:rPr>
            <w:fldChar w:fldCharType="separate"/>
          </w:r>
          <w:r>
            <w:rPr>
              <w:rFonts w:hint="eastAsia" w:ascii="宋体" w:hAnsi="宋体"/>
              <w:lang w:val="en-US" w:eastAsia="zh-CN"/>
            </w:rPr>
            <w:t>3.项目实施内容</w:t>
          </w:r>
          <w:r>
            <w:tab/>
          </w:r>
          <w:r>
            <w:fldChar w:fldCharType="begin"/>
          </w:r>
          <w:r>
            <w:instrText xml:space="preserve"> PAGEREF _Toc29338 \h </w:instrText>
          </w:r>
          <w:r>
            <w:fldChar w:fldCharType="separate"/>
          </w:r>
          <w:r>
            <w:t>3</w:t>
          </w:r>
          <w:r>
            <w:fldChar w:fldCharType="end"/>
          </w:r>
          <w:r>
            <w:rPr>
              <w:rFonts w:ascii="宋体" w:hAnsi="宋体"/>
            </w:rPr>
            <w:fldChar w:fldCharType="end"/>
          </w:r>
        </w:p>
        <w:p w14:paraId="250CDCBC">
          <w:pPr>
            <w:pStyle w:val="7"/>
            <w:tabs>
              <w:tab w:val="right" w:leader="dot" w:pos="8306"/>
            </w:tabs>
          </w:pPr>
          <w:r>
            <w:rPr>
              <w:rFonts w:ascii="宋体" w:hAnsi="宋体"/>
            </w:rPr>
            <w:fldChar w:fldCharType="begin"/>
          </w:r>
          <w:r>
            <w:rPr>
              <w:rFonts w:ascii="宋体" w:hAnsi="宋体"/>
            </w:rPr>
            <w:instrText xml:space="preserve"> HYPERLINK \l _Toc6156 </w:instrText>
          </w:r>
          <w:r>
            <w:rPr>
              <w:rFonts w:ascii="宋体" w:hAnsi="宋体"/>
            </w:rPr>
            <w:fldChar w:fldCharType="separate"/>
          </w:r>
          <w:r>
            <w:rPr>
              <w:rFonts w:hint="eastAsia" w:ascii="宋体" w:hAnsi="宋体"/>
              <w:lang w:val="en-US" w:eastAsia="zh-CN"/>
            </w:rPr>
            <w:t>4.项目实施情况</w:t>
          </w:r>
          <w:r>
            <w:tab/>
          </w:r>
          <w:r>
            <w:fldChar w:fldCharType="begin"/>
          </w:r>
          <w:r>
            <w:instrText xml:space="preserve"> PAGEREF _Toc6156 \h </w:instrText>
          </w:r>
          <w:r>
            <w:fldChar w:fldCharType="separate"/>
          </w:r>
          <w:r>
            <w:t>4</w:t>
          </w:r>
          <w:r>
            <w:fldChar w:fldCharType="end"/>
          </w:r>
          <w:r>
            <w:rPr>
              <w:rFonts w:ascii="宋体" w:hAnsi="宋体"/>
            </w:rPr>
            <w:fldChar w:fldCharType="end"/>
          </w:r>
        </w:p>
        <w:p w14:paraId="245EE905">
          <w:pPr>
            <w:pStyle w:val="7"/>
            <w:tabs>
              <w:tab w:val="right" w:leader="dot" w:pos="8306"/>
            </w:tabs>
          </w:pPr>
          <w:r>
            <w:rPr>
              <w:rFonts w:ascii="宋体" w:hAnsi="宋体"/>
            </w:rPr>
            <w:fldChar w:fldCharType="begin"/>
          </w:r>
          <w:r>
            <w:rPr>
              <w:rFonts w:ascii="宋体" w:hAnsi="宋体"/>
            </w:rPr>
            <w:instrText xml:space="preserve"> HYPERLINK \l _Toc1009 </w:instrText>
          </w:r>
          <w:r>
            <w:rPr>
              <w:rFonts w:ascii="宋体" w:hAnsi="宋体"/>
            </w:rPr>
            <w:fldChar w:fldCharType="separate"/>
          </w:r>
          <w:r>
            <w:rPr>
              <w:rFonts w:hint="eastAsia" w:ascii="宋体" w:hAnsi="宋体"/>
              <w:lang w:val="en-US" w:eastAsia="zh-CN"/>
            </w:rPr>
            <w:t>5.资金筹措及到位情况</w:t>
          </w:r>
          <w:r>
            <w:tab/>
          </w:r>
          <w:r>
            <w:rPr>
              <w:rFonts w:hint="eastAsia"/>
              <w:lang w:val="en-US" w:eastAsia="zh-CN"/>
            </w:rPr>
            <w:t>4</w:t>
          </w:r>
          <w:r>
            <w:rPr>
              <w:rFonts w:ascii="宋体" w:hAnsi="宋体"/>
            </w:rPr>
            <w:fldChar w:fldCharType="end"/>
          </w:r>
        </w:p>
        <w:p w14:paraId="25EFCFE6">
          <w:pPr>
            <w:pStyle w:val="10"/>
            <w:tabs>
              <w:tab w:val="right" w:leader="dot" w:pos="8306"/>
            </w:tabs>
          </w:pPr>
          <w:r>
            <w:rPr>
              <w:rFonts w:ascii="宋体" w:hAnsi="宋体"/>
            </w:rPr>
            <w:fldChar w:fldCharType="begin"/>
          </w:r>
          <w:r>
            <w:rPr>
              <w:rFonts w:ascii="宋体" w:hAnsi="宋体"/>
            </w:rPr>
            <w:instrText xml:space="preserve"> HYPERLINK \l _Toc9027 </w:instrText>
          </w:r>
          <w:r>
            <w:rPr>
              <w:rFonts w:ascii="宋体" w:hAnsi="宋体"/>
            </w:rPr>
            <w:fldChar w:fldCharType="separate"/>
          </w:r>
          <w:r>
            <w:rPr>
              <w:rFonts w:hint="eastAsia" w:ascii="宋体" w:hAnsi="宋体"/>
              <w:lang w:eastAsia="zh-CN"/>
            </w:rPr>
            <w:t>（</w:t>
          </w:r>
          <w:r>
            <w:rPr>
              <w:rFonts w:hint="eastAsia" w:ascii="宋体" w:hAnsi="宋体"/>
              <w:lang w:val="en-US" w:eastAsia="zh-CN"/>
            </w:rPr>
            <w:t>二</w:t>
          </w:r>
          <w:r>
            <w:rPr>
              <w:rFonts w:hint="eastAsia" w:ascii="宋体" w:hAnsi="宋体"/>
              <w:lang w:eastAsia="zh-CN"/>
            </w:rPr>
            <w:t>）</w:t>
          </w:r>
          <w:r>
            <w:rPr>
              <w:rFonts w:hint="eastAsia" w:ascii="宋体" w:hAnsi="宋体"/>
            </w:rPr>
            <w:t>项目绩效目标</w:t>
          </w:r>
          <w:r>
            <w:tab/>
          </w:r>
          <w:r>
            <w:rPr>
              <w:rFonts w:hint="eastAsia"/>
              <w:lang w:val="en-US" w:eastAsia="zh-CN"/>
            </w:rPr>
            <w:t>6</w:t>
          </w:r>
          <w:r>
            <w:rPr>
              <w:rFonts w:ascii="宋体" w:hAnsi="宋体"/>
            </w:rPr>
            <w:fldChar w:fldCharType="end"/>
          </w:r>
        </w:p>
        <w:p w14:paraId="7FB33CFA">
          <w:pPr>
            <w:pStyle w:val="7"/>
            <w:tabs>
              <w:tab w:val="right" w:leader="dot" w:pos="8306"/>
            </w:tabs>
            <w:rPr>
              <w:rFonts w:ascii="宋体" w:hAnsi="宋体"/>
            </w:rPr>
          </w:pPr>
          <w:r>
            <w:rPr>
              <w:rFonts w:ascii="宋体" w:hAnsi="宋体"/>
            </w:rPr>
            <w:fldChar w:fldCharType="begin"/>
          </w:r>
          <w:r>
            <w:rPr>
              <w:rFonts w:ascii="宋体" w:hAnsi="宋体"/>
            </w:rPr>
            <w:instrText xml:space="preserve"> HYPERLINK \l _Toc30011 </w:instrText>
          </w:r>
          <w:r>
            <w:rPr>
              <w:rFonts w:ascii="宋体" w:hAnsi="宋体"/>
            </w:rPr>
            <w:fldChar w:fldCharType="separate"/>
          </w:r>
          <w:r>
            <w:rPr>
              <w:rFonts w:hint="eastAsia" w:ascii="宋体" w:hAnsi="宋体"/>
              <w:lang w:val="en-US" w:eastAsia="zh-CN"/>
            </w:rPr>
            <w:t>1.总体目标</w:t>
          </w:r>
          <w:r>
            <w:tab/>
          </w:r>
          <w:r>
            <w:rPr>
              <w:rFonts w:hint="eastAsia"/>
              <w:lang w:val="en-US" w:eastAsia="zh-CN"/>
            </w:rPr>
            <w:t>6</w:t>
          </w:r>
          <w:r>
            <w:rPr>
              <w:rFonts w:ascii="宋体" w:hAnsi="宋体"/>
            </w:rPr>
            <w:fldChar w:fldCharType="end"/>
          </w:r>
        </w:p>
        <w:p w14:paraId="46334D90">
          <w:pPr>
            <w:pStyle w:val="9"/>
            <w:tabs>
              <w:tab w:val="right" w:leader="dot" w:pos="8306"/>
            </w:tabs>
            <w:ind w:firstLine="1800" w:firstLineChars="600"/>
            <w:rPr>
              <w:rFonts w:ascii="宋体" w:hAnsi="宋体"/>
            </w:rPr>
          </w:pPr>
          <w:r>
            <w:rPr>
              <w:rFonts w:ascii="宋体" w:hAnsi="宋体"/>
            </w:rPr>
            <w:fldChar w:fldCharType="begin"/>
          </w:r>
          <w:r>
            <w:rPr>
              <w:rFonts w:ascii="宋体" w:hAnsi="宋体"/>
            </w:rPr>
            <w:instrText xml:space="preserve"> HYPERLINK \l _Toc30011 </w:instrText>
          </w:r>
          <w:r>
            <w:rPr>
              <w:rFonts w:ascii="宋体" w:hAnsi="宋体"/>
            </w:rPr>
            <w:fldChar w:fldCharType="separate"/>
          </w:r>
          <w:r>
            <w:rPr>
              <w:rFonts w:hint="eastAsia" w:ascii="宋体" w:hAnsi="宋体"/>
              <w:lang w:val="en-US" w:eastAsia="zh-CN"/>
            </w:rPr>
            <w:t>2.年度目标</w:t>
          </w:r>
          <w:r>
            <w:tab/>
          </w:r>
          <w:r>
            <w:rPr>
              <w:rFonts w:hint="eastAsia"/>
              <w:lang w:val="en-US" w:eastAsia="zh-CN"/>
            </w:rPr>
            <w:t>6</w:t>
          </w:r>
          <w:r>
            <w:rPr>
              <w:rFonts w:ascii="宋体" w:hAnsi="宋体"/>
            </w:rPr>
            <w:fldChar w:fldCharType="end"/>
          </w:r>
        </w:p>
        <w:p w14:paraId="74A2C93F">
          <w:pPr>
            <w:pStyle w:val="9"/>
            <w:tabs>
              <w:tab w:val="right" w:leader="dot" w:pos="8306"/>
            </w:tabs>
          </w:pPr>
          <w:r>
            <w:rPr>
              <w:rFonts w:ascii="宋体" w:hAnsi="宋体"/>
            </w:rPr>
            <w:fldChar w:fldCharType="begin"/>
          </w:r>
          <w:r>
            <w:rPr>
              <w:rFonts w:ascii="宋体" w:hAnsi="宋体"/>
            </w:rPr>
            <w:instrText xml:space="preserve"> HYPERLINK \l _Toc12225 </w:instrText>
          </w:r>
          <w:r>
            <w:rPr>
              <w:rFonts w:ascii="宋体" w:hAnsi="宋体"/>
            </w:rPr>
            <w:fldChar w:fldCharType="separate"/>
          </w:r>
          <w:r>
            <w:rPr>
              <w:rFonts w:hint="eastAsia" w:ascii="宋体" w:hAnsi="宋体"/>
            </w:rPr>
            <w:t>二、绩效评价工作开展情况</w:t>
          </w:r>
          <w:r>
            <w:tab/>
          </w:r>
          <w:r>
            <w:rPr>
              <w:rFonts w:hint="eastAsia"/>
              <w:lang w:val="en-US" w:eastAsia="zh-CN"/>
            </w:rPr>
            <w:t>6</w:t>
          </w:r>
          <w:r>
            <w:rPr>
              <w:rFonts w:ascii="宋体" w:hAnsi="宋体"/>
            </w:rPr>
            <w:fldChar w:fldCharType="end"/>
          </w:r>
        </w:p>
        <w:p w14:paraId="6E6F0A11">
          <w:pPr>
            <w:pStyle w:val="10"/>
            <w:tabs>
              <w:tab w:val="right" w:leader="dot" w:pos="8306"/>
            </w:tabs>
          </w:pPr>
          <w:r>
            <w:rPr>
              <w:rFonts w:ascii="宋体" w:hAnsi="宋体"/>
            </w:rPr>
            <w:fldChar w:fldCharType="begin"/>
          </w:r>
          <w:r>
            <w:rPr>
              <w:rFonts w:ascii="宋体" w:hAnsi="宋体"/>
            </w:rPr>
            <w:instrText xml:space="preserve"> HYPERLINK \l _Toc11477 </w:instrText>
          </w:r>
          <w:r>
            <w:rPr>
              <w:rFonts w:ascii="宋体" w:hAnsi="宋体"/>
            </w:rPr>
            <w:fldChar w:fldCharType="separate"/>
          </w:r>
          <w:r>
            <w:rPr>
              <w:rFonts w:hint="eastAsia" w:ascii="宋体" w:hAnsi="宋体"/>
              <w:lang w:eastAsia="zh-CN"/>
            </w:rPr>
            <w:t>（</w:t>
          </w:r>
          <w:r>
            <w:rPr>
              <w:rFonts w:hint="eastAsia" w:ascii="宋体" w:hAnsi="宋体"/>
              <w:lang w:val="en-US" w:eastAsia="zh-CN"/>
            </w:rPr>
            <w:t>一</w:t>
          </w:r>
          <w:r>
            <w:rPr>
              <w:rFonts w:hint="eastAsia" w:ascii="宋体" w:hAnsi="宋体"/>
              <w:lang w:eastAsia="zh-CN"/>
            </w:rPr>
            <w:t>）</w:t>
          </w:r>
          <w:r>
            <w:rPr>
              <w:rFonts w:hint="eastAsia" w:ascii="宋体" w:hAnsi="宋体"/>
            </w:rPr>
            <w:t>绩效评价目的、对象和范围</w:t>
          </w:r>
          <w:r>
            <w:tab/>
          </w:r>
          <w:r>
            <w:rPr>
              <w:rFonts w:hint="eastAsia"/>
              <w:lang w:val="en-US" w:eastAsia="zh-CN"/>
            </w:rPr>
            <w:t>6</w:t>
          </w:r>
          <w:r>
            <w:rPr>
              <w:rFonts w:ascii="宋体" w:hAnsi="宋体"/>
            </w:rPr>
            <w:fldChar w:fldCharType="end"/>
          </w:r>
        </w:p>
        <w:p w14:paraId="16BDA566">
          <w:pPr>
            <w:pStyle w:val="7"/>
            <w:tabs>
              <w:tab w:val="right" w:leader="dot" w:pos="8306"/>
            </w:tabs>
          </w:pPr>
          <w:r>
            <w:rPr>
              <w:rFonts w:ascii="宋体" w:hAnsi="宋体"/>
            </w:rPr>
            <w:fldChar w:fldCharType="begin"/>
          </w:r>
          <w:r>
            <w:rPr>
              <w:rFonts w:ascii="宋体" w:hAnsi="宋体"/>
            </w:rPr>
            <w:instrText xml:space="preserve"> HYPERLINK \l _Toc24049 </w:instrText>
          </w:r>
          <w:r>
            <w:rPr>
              <w:rFonts w:ascii="宋体" w:hAnsi="宋体"/>
            </w:rPr>
            <w:fldChar w:fldCharType="separate"/>
          </w:r>
          <w:r>
            <w:rPr>
              <w:rFonts w:hint="eastAsia" w:ascii="宋体" w:hAnsi="宋体"/>
              <w:lang w:val="en-US" w:eastAsia="zh-CN"/>
            </w:rPr>
            <w:t>1.评价目的</w:t>
          </w:r>
          <w:r>
            <w:tab/>
          </w:r>
          <w:r>
            <w:rPr>
              <w:rFonts w:hint="eastAsia"/>
              <w:lang w:val="en-US" w:eastAsia="zh-CN"/>
            </w:rPr>
            <w:t>6</w:t>
          </w:r>
          <w:r>
            <w:rPr>
              <w:rFonts w:ascii="宋体" w:hAnsi="宋体"/>
            </w:rPr>
            <w:fldChar w:fldCharType="end"/>
          </w:r>
        </w:p>
        <w:p w14:paraId="1D1F7311">
          <w:pPr>
            <w:pStyle w:val="7"/>
            <w:tabs>
              <w:tab w:val="right" w:leader="dot" w:pos="8306"/>
            </w:tabs>
          </w:pPr>
          <w:r>
            <w:rPr>
              <w:rFonts w:ascii="宋体" w:hAnsi="宋体"/>
            </w:rPr>
            <w:fldChar w:fldCharType="begin"/>
          </w:r>
          <w:r>
            <w:rPr>
              <w:rFonts w:ascii="宋体" w:hAnsi="宋体"/>
            </w:rPr>
            <w:instrText xml:space="preserve"> HYPERLINK \l _Toc5375 </w:instrText>
          </w:r>
          <w:r>
            <w:rPr>
              <w:rFonts w:ascii="宋体" w:hAnsi="宋体"/>
            </w:rPr>
            <w:fldChar w:fldCharType="separate"/>
          </w:r>
          <w:r>
            <w:rPr>
              <w:rFonts w:hint="eastAsia" w:ascii="宋体" w:hAnsi="宋体"/>
              <w:lang w:val="en-US" w:eastAsia="zh-CN"/>
            </w:rPr>
            <w:t>2.评价对象</w:t>
          </w:r>
          <w:r>
            <w:tab/>
          </w:r>
          <w:r>
            <w:rPr>
              <w:rFonts w:hint="eastAsia"/>
              <w:lang w:val="en-US" w:eastAsia="zh-CN"/>
            </w:rPr>
            <w:t>7</w:t>
          </w:r>
          <w:r>
            <w:rPr>
              <w:rFonts w:ascii="宋体" w:hAnsi="宋体"/>
            </w:rPr>
            <w:fldChar w:fldCharType="end"/>
          </w:r>
        </w:p>
        <w:p w14:paraId="20020426">
          <w:pPr>
            <w:pStyle w:val="7"/>
            <w:tabs>
              <w:tab w:val="right" w:leader="dot" w:pos="8306"/>
            </w:tabs>
          </w:pPr>
          <w:r>
            <w:rPr>
              <w:rFonts w:ascii="宋体" w:hAnsi="宋体"/>
            </w:rPr>
            <w:fldChar w:fldCharType="begin"/>
          </w:r>
          <w:r>
            <w:rPr>
              <w:rFonts w:ascii="宋体" w:hAnsi="宋体"/>
            </w:rPr>
            <w:instrText xml:space="preserve"> HYPERLINK \l _Toc1633 </w:instrText>
          </w:r>
          <w:r>
            <w:rPr>
              <w:rFonts w:ascii="宋体" w:hAnsi="宋体"/>
            </w:rPr>
            <w:fldChar w:fldCharType="separate"/>
          </w:r>
          <w:r>
            <w:rPr>
              <w:rFonts w:hint="eastAsia" w:ascii="宋体" w:hAnsi="宋体"/>
              <w:lang w:val="en-US" w:eastAsia="zh-CN"/>
            </w:rPr>
            <w:t>3.评价范围</w:t>
          </w:r>
          <w:r>
            <w:tab/>
          </w:r>
          <w:r>
            <w:rPr>
              <w:rFonts w:hint="eastAsia"/>
              <w:lang w:val="en-US" w:eastAsia="zh-CN"/>
            </w:rPr>
            <w:t>7</w:t>
          </w:r>
          <w:r>
            <w:rPr>
              <w:rFonts w:ascii="宋体" w:hAnsi="宋体"/>
            </w:rPr>
            <w:fldChar w:fldCharType="end"/>
          </w:r>
        </w:p>
        <w:p w14:paraId="18DEA469">
          <w:pPr>
            <w:pStyle w:val="10"/>
            <w:tabs>
              <w:tab w:val="right" w:leader="dot" w:pos="8306"/>
            </w:tabs>
          </w:pPr>
          <w:r>
            <w:rPr>
              <w:rFonts w:ascii="宋体" w:hAnsi="宋体"/>
            </w:rPr>
            <w:fldChar w:fldCharType="begin"/>
          </w:r>
          <w:r>
            <w:rPr>
              <w:rFonts w:ascii="宋体" w:hAnsi="宋体"/>
            </w:rPr>
            <w:instrText xml:space="preserve"> HYPERLINK \l _Toc19851 </w:instrText>
          </w:r>
          <w:r>
            <w:rPr>
              <w:rFonts w:ascii="宋体" w:hAnsi="宋体"/>
            </w:rPr>
            <w:fldChar w:fldCharType="separate"/>
          </w:r>
          <w:r>
            <w:rPr>
              <w:rFonts w:hint="eastAsia" w:ascii="宋体" w:hAnsi="宋体"/>
              <w:lang w:val="en-US" w:eastAsia="zh-CN"/>
            </w:rPr>
            <w:t>（二） 绩效评价依据</w:t>
          </w:r>
          <w:r>
            <w:tab/>
          </w:r>
          <w:r>
            <w:rPr>
              <w:rFonts w:hint="eastAsia"/>
              <w:lang w:val="en-US" w:eastAsia="zh-CN"/>
            </w:rPr>
            <w:t>7</w:t>
          </w:r>
          <w:r>
            <w:rPr>
              <w:rFonts w:ascii="宋体" w:hAnsi="宋体"/>
            </w:rPr>
            <w:fldChar w:fldCharType="end"/>
          </w:r>
        </w:p>
        <w:p w14:paraId="5DF29212">
          <w:pPr>
            <w:pStyle w:val="10"/>
            <w:tabs>
              <w:tab w:val="right" w:leader="dot" w:pos="8306"/>
            </w:tabs>
          </w:pPr>
          <w:r>
            <w:rPr>
              <w:rFonts w:ascii="宋体" w:hAnsi="宋体"/>
            </w:rPr>
            <w:fldChar w:fldCharType="begin"/>
          </w:r>
          <w:r>
            <w:rPr>
              <w:rFonts w:ascii="宋体" w:hAnsi="宋体"/>
            </w:rPr>
            <w:instrText xml:space="preserve"> HYPERLINK \l _Toc18767 </w:instrText>
          </w:r>
          <w:r>
            <w:rPr>
              <w:rFonts w:ascii="宋体" w:hAnsi="宋体"/>
            </w:rPr>
            <w:fldChar w:fldCharType="separate"/>
          </w:r>
          <w:r>
            <w:rPr>
              <w:rFonts w:hint="eastAsia" w:ascii="宋体" w:hAnsi="宋体"/>
              <w:lang w:eastAsia="zh-CN"/>
            </w:rPr>
            <w:t>（</w:t>
          </w:r>
          <w:r>
            <w:rPr>
              <w:rFonts w:hint="eastAsia" w:ascii="宋体" w:hAnsi="宋体"/>
              <w:lang w:val="en-US" w:eastAsia="zh-CN"/>
            </w:rPr>
            <w:t>三</w:t>
          </w:r>
          <w:r>
            <w:rPr>
              <w:rFonts w:hint="eastAsia" w:ascii="宋体" w:hAnsi="宋体"/>
              <w:lang w:eastAsia="zh-CN"/>
            </w:rPr>
            <w:t>）</w:t>
          </w:r>
          <w:r>
            <w:rPr>
              <w:rFonts w:hint="eastAsia" w:ascii="宋体" w:hAnsi="宋体"/>
              <w:lang w:val="en-US" w:eastAsia="zh-CN"/>
            </w:rPr>
            <w:t>绩效评价原则</w:t>
          </w:r>
          <w:r>
            <w:tab/>
          </w:r>
          <w:r>
            <w:rPr>
              <w:rFonts w:hint="eastAsia"/>
              <w:lang w:val="en-US" w:eastAsia="zh-CN"/>
            </w:rPr>
            <w:t>8</w:t>
          </w:r>
          <w:r>
            <w:rPr>
              <w:rFonts w:ascii="宋体" w:hAnsi="宋体"/>
            </w:rPr>
            <w:fldChar w:fldCharType="end"/>
          </w:r>
        </w:p>
        <w:p w14:paraId="723113EB">
          <w:pPr>
            <w:pStyle w:val="7"/>
            <w:tabs>
              <w:tab w:val="right" w:leader="dot" w:pos="8306"/>
            </w:tabs>
          </w:pPr>
          <w:r>
            <w:rPr>
              <w:rFonts w:ascii="宋体" w:hAnsi="宋体"/>
            </w:rPr>
            <w:fldChar w:fldCharType="begin"/>
          </w:r>
          <w:r>
            <w:rPr>
              <w:rFonts w:ascii="宋体" w:hAnsi="宋体"/>
            </w:rPr>
            <w:instrText xml:space="preserve"> HYPERLINK \l _Toc14507 </w:instrText>
          </w:r>
          <w:r>
            <w:rPr>
              <w:rFonts w:ascii="宋体" w:hAnsi="宋体"/>
            </w:rPr>
            <w:fldChar w:fldCharType="separate"/>
          </w:r>
          <w:r>
            <w:rPr>
              <w:rFonts w:hint="eastAsia" w:ascii="宋体" w:hAnsi="宋体"/>
              <w:lang w:val="en-US" w:eastAsia="zh-CN"/>
            </w:rPr>
            <w:t>1.科学规范</w:t>
          </w:r>
          <w:r>
            <w:tab/>
          </w:r>
          <w:r>
            <w:rPr>
              <w:rFonts w:hint="eastAsia"/>
              <w:lang w:val="en-US" w:eastAsia="zh-CN"/>
            </w:rPr>
            <w:t>8</w:t>
          </w:r>
          <w:r>
            <w:rPr>
              <w:rFonts w:ascii="宋体" w:hAnsi="宋体"/>
            </w:rPr>
            <w:fldChar w:fldCharType="end"/>
          </w:r>
        </w:p>
        <w:p w14:paraId="3A65C5D9">
          <w:pPr>
            <w:pStyle w:val="7"/>
            <w:tabs>
              <w:tab w:val="right" w:leader="dot" w:pos="8306"/>
            </w:tabs>
          </w:pPr>
          <w:r>
            <w:rPr>
              <w:rFonts w:ascii="宋体" w:hAnsi="宋体"/>
            </w:rPr>
            <w:fldChar w:fldCharType="begin"/>
          </w:r>
          <w:r>
            <w:rPr>
              <w:rFonts w:ascii="宋体" w:hAnsi="宋体"/>
            </w:rPr>
            <w:instrText xml:space="preserve"> HYPERLINK \l _Toc32592 </w:instrText>
          </w:r>
          <w:r>
            <w:rPr>
              <w:rFonts w:ascii="宋体" w:hAnsi="宋体"/>
            </w:rPr>
            <w:fldChar w:fldCharType="separate"/>
          </w:r>
          <w:r>
            <w:rPr>
              <w:rFonts w:hint="eastAsia" w:ascii="宋体" w:hAnsi="宋体"/>
              <w:lang w:val="en-US" w:eastAsia="zh-CN"/>
            </w:rPr>
            <w:t>2.协同配合</w:t>
          </w:r>
          <w:r>
            <w:tab/>
          </w:r>
          <w:r>
            <w:rPr>
              <w:rFonts w:hint="eastAsia"/>
              <w:lang w:val="en-US" w:eastAsia="zh-CN"/>
            </w:rPr>
            <w:t>8</w:t>
          </w:r>
          <w:r>
            <w:rPr>
              <w:rFonts w:ascii="宋体" w:hAnsi="宋体"/>
            </w:rPr>
            <w:fldChar w:fldCharType="end"/>
          </w:r>
        </w:p>
        <w:p w14:paraId="6B1BEDC5">
          <w:pPr>
            <w:pStyle w:val="7"/>
            <w:tabs>
              <w:tab w:val="right" w:leader="dot" w:pos="8306"/>
            </w:tabs>
          </w:pPr>
          <w:r>
            <w:rPr>
              <w:rFonts w:ascii="宋体" w:hAnsi="宋体"/>
            </w:rPr>
            <w:fldChar w:fldCharType="begin"/>
          </w:r>
          <w:r>
            <w:rPr>
              <w:rFonts w:ascii="宋体" w:hAnsi="宋体"/>
            </w:rPr>
            <w:instrText xml:space="preserve"> HYPERLINK \l _Toc30498 </w:instrText>
          </w:r>
          <w:r>
            <w:rPr>
              <w:rFonts w:ascii="宋体" w:hAnsi="宋体"/>
            </w:rPr>
            <w:fldChar w:fldCharType="separate"/>
          </w:r>
          <w:r>
            <w:rPr>
              <w:rFonts w:hint="eastAsia" w:ascii="宋体" w:hAnsi="宋体"/>
              <w:lang w:val="en-US" w:eastAsia="zh-CN"/>
            </w:rPr>
            <w:t>3.公开透明</w:t>
          </w:r>
          <w:r>
            <w:tab/>
          </w:r>
          <w:r>
            <w:rPr>
              <w:rFonts w:hint="eastAsia"/>
              <w:lang w:val="en-US" w:eastAsia="zh-CN"/>
            </w:rPr>
            <w:t>8</w:t>
          </w:r>
          <w:r>
            <w:rPr>
              <w:rFonts w:ascii="宋体" w:hAnsi="宋体"/>
            </w:rPr>
            <w:fldChar w:fldCharType="end"/>
          </w:r>
        </w:p>
        <w:p w14:paraId="6594F8C0">
          <w:pPr>
            <w:pStyle w:val="7"/>
            <w:tabs>
              <w:tab w:val="right" w:leader="dot" w:pos="8306"/>
            </w:tabs>
          </w:pPr>
          <w:r>
            <w:rPr>
              <w:rFonts w:ascii="宋体" w:hAnsi="宋体"/>
            </w:rPr>
            <w:fldChar w:fldCharType="begin"/>
          </w:r>
          <w:r>
            <w:rPr>
              <w:rFonts w:ascii="宋体" w:hAnsi="宋体"/>
            </w:rPr>
            <w:instrText xml:space="preserve"> HYPERLINK \l _Toc20116 </w:instrText>
          </w:r>
          <w:r>
            <w:rPr>
              <w:rFonts w:ascii="宋体" w:hAnsi="宋体"/>
            </w:rPr>
            <w:fldChar w:fldCharType="separate"/>
          </w:r>
          <w:r>
            <w:rPr>
              <w:rFonts w:hint="eastAsia" w:ascii="宋体" w:hAnsi="宋体"/>
              <w:lang w:val="en-US" w:eastAsia="zh-CN"/>
            </w:rPr>
            <w:t>4.强化运用</w:t>
          </w:r>
          <w:r>
            <w:tab/>
          </w:r>
          <w:r>
            <w:rPr>
              <w:rFonts w:hint="eastAsia"/>
              <w:lang w:val="en-US" w:eastAsia="zh-CN"/>
            </w:rPr>
            <w:t>9</w:t>
          </w:r>
          <w:r>
            <w:rPr>
              <w:rFonts w:ascii="宋体" w:hAnsi="宋体"/>
            </w:rPr>
            <w:fldChar w:fldCharType="end"/>
          </w:r>
        </w:p>
        <w:p w14:paraId="16A1FB29">
          <w:pPr>
            <w:pStyle w:val="10"/>
            <w:tabs>
              <w:tab w:val="right" w:leader="dot" w:pos="8306"/>
            </w:tabs>
          </w:pPr>
          <w:r>
            <w:rPr>
              <w:rFonts w:ascii="宋体" w:hAnsi="宋体"/>
            </w:rPr>
            <w:fldChar w:fldCharType="begin"/>
          </w:r>
          <w:r>
            <w:rPr>
              <w:rFonts w:ascii="宋体" w:hAnsi="宋体"/>
            </w:rPr>
            <w:instrText xml:space="preserve"> HYPERLINK \l _Toc25848 </w:instrText>
          </w:r>
          <w:r>
            <w:rPr>
              <w:rFonts w:ascii="宋体" w:hAnsi="宋体"/>
            </w:rPr>
            <w:fldChar w:fldCharType="separate"/>
          </w:r>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hint="eastAsia" w:ascii="宋体" w:hAnsi="宋体"/>
            </w:rPr>
            <w:t>评价指标体系、评价方法、评价标准</w:t>
          </w:r>
          <w:r>
            <w:tab/>
          </w:r>
          <w:r>
            <w:rPr>
              <w:rFonts w:hint="eastAsia"/>
              <w:lang w:val="en-US" w:eastAsia="zh-CN"/>
            </w:rPr>
            <w:t>9</w:t>
          </w:r>
          <w:r>
            <w:rPr>
              <w:rFonts w:ascii="宋体" w:hAnsi="宋体"/>
            </w:rPr>
            <w:fldChar w:fldCharType="end"/>
          </w:r>
        </w:p>
        <w:p w14:paraId="327C81D1">
          <w:pPr>
            <w:pStyle w:val="7"/>
            <w:tabs>
              <w:tab w:val="right" w:leader="dot" w:pos="8306"/>
            </w:tabs>
          </w:pPr>
          <w:r>
            <w:rPr>
              <w:rFonts w:ascii="宋体" w:hAnsi="宋体"/>
            </w:rPr>
            <w:fldChar w:fldCharType="begin"/>
          </w:r>
          <w:r>
            <w:rPr>
              <w:rFonts w:ascii="宋体" w:hAnsi="宋体"/>
            </w:rPr>
            <w:instrText xml:space="preserve"> HYPERLINK \l _Toc15531 </w:instrText>
          </w:r>
          <w:r>
            <w:rPr>
              <w:rFonts w:ascii="宋体" w:hAnsi="宋体"/>
            </w:rPr>
            <w:fldChar w:fldCharType="separate"/>
          </w:r>
          <w:r>
            <w:rPr>
              <w:rFonts w:hint="eastAsia" w:ascii="宋体" w:hAnsi="宋体"/>
              <w:lang w:val="en-US" w:eastAsia="zh-CN"/>
            </w:rPr>
            <w:t>1.评价指标体系</w:t>
          </w:r>
          <w:r>
            <w:tab/>
          </w:r>
          <w:r>
            <w:rPr>
              <w:rFonts w:hint="eastAsia"/>
              <w:lang w:val="en-US" w:eastAsia="zh-CN"/>
            </w:rPr>
            <w:t>9</w:t>
          </w:r>
          <w:r>
            <w:rPr>
              <w:rFonts w:ascii="宋体" w:hAnsi="宋体"/>
            </w:rPr>
            <w:fldChar w:fldCharType="end"/>
          </w:r>
        </w:p>
        <w:p w14:paraId="52E1D572">
          <w:pPr>
            <w:pStyle w:val="7"/>
            <w:tabs>
              <w:tab w:val="right" w:leader="dot" w:pos="8306"/>
            </w:tabs>
            <w:rPr>
              <w:rFonts w:hint="eastAsia" w:eastAsia="仿宋_GB2312"/>
              <w:lang w:val="en-US" w:eastAsia="zh-CN"/>
            </w:rPr>
          </w:pPr>
          <w:r>
            <w:fldChar w:fldCharType="begin"/>
          </w:r>
          <w:r>
            <w:instrText xml:space="preserve"> HYPERLINK \l _Toc12450 </w:instrText>
          </w:r>
          <w:r>
            <w:fldChar w:fldCharType="separate"/>
          </w:r>
          <w:r>
            <w:rPr>
              <w:rFonts w:hint="eastAsia" w:ascii="宋体" w:hAnsi="宋体"/>
              <w:lang w:val="en-US" w:eastAsia="zh-CN"/>
            </w:rPr>
            <w:t>2.</w:t>
          </w:r>
          <w:r>
            <w:rPr>
              <w:rFonts w:hint="eastAsia"/>
              <w:lang w:val="en-US" w:eastAsia="zh-CN"/>
            </w:rPr>
            <w:t>评价方法</w:t>
          </w:r>
          <w:r>
            <w:tab/>
          </w:r>
          <w:r>
            <w:rPr>
              <w:rFonts w:hint="eastAsia"/>
              <w:lang w:val="en-US" w:eastAsia="zh-CN"/>
            </w:rPr>
            <w:t>1</w:t>
          </w:r>
          <w:r>
            <w:fldChar w:fldCharType="end"/>
          </w:r>
          <w:r>
            <w:rPr>
              <w:rFonts w:hint="eastAsia"/>
              <w:lang w:val="en-US" w:eastAsia="zh-CN"/>
            </w:rPr>
            <w:t>0</w:t>
          </w:r>
        </w:p>
        <w:p w14:paraId="2476ABCC">
          <w:pPr>
            <w:pStyle w:val="7"/>
            <w:tabs>
              <w:tab w:val="right" w:leader="dot" w:pos="8306"/>
            </w:tabs>
            <w:rPr>
              <w:rFonts w:hint="eastAsia" w:eastAsia="仿宋_GB2312"/>
              <w:lang w:val="en-US" w:eastAsia="zh-CN"/>
            </w:rPr>
          </w:pPr>
          <w:r>
            <w:rPr>
              <w:rFonts w:ascii="宋体" w:hAnsi="宋体"/>
            </w:rPr>
            <w:fldChar w:fldCharType="begin"/>
          </w:r>
          <w:r>
            <w:rPr>
              <w:rFonts w:ascii="宋体" w:hAnsi="宋体"/>
            </w:rPr>
            <w:instrText xml:space="preserve"> HYPERLINK \l _Toc7445 </w:instrText>
          </w:r>
          <w:r>
            <w:rPr>
              <w:rFonts w:ascii="宋体" w:hAnsi="宋体"/>
            </w:rPr>
            <w:fldChar w:fldCharType="separate"/>
          </w:r>
          <w:r>
            <w:rPr>
              <w:rFonts w:hint="eastAsia" w:ascii="宋体" w:hAnsi="宋体"/>
              <w:lang w:val="en-US" w:eastAsia="zh-CN"/>
            </w:rPr>
            <w:t>3.评价标准</w:t>
          </w:r>
          <w:r>
            <w:tab/>
          </w:r>
          <w:r>
            <w:rPr>
              <w:rFonts w:hint="eastAsia"/>
              <w:lang w:val="en-US" w:eastAsia="zh-CN"/>
            </w:rPr>
            <w:t>1</w:t>
          </w:r>
          <w:r>
            <w:rPr>
              <w:rFonts w:ascii="宋体" w:hAnsi="宋体"/>
            </w:rPr>
            <w:fldChar w:fldCharType="end"/>
          </w:r>
          <w:r>
            <w:rPr>
              <w:rFonts w:hint="default" w:ascii="Arial" w:hAnsi="Arial" w:cs="Arial"/>
              <w:lang w:val="en-US" w:eastAsia="zh-CN"/>
            </w:rPr>
            <w:t>0</w:t>
          </w:r>
        </w:p>
        <w:p w14:paraId="5EECE75D">
          <w:pPr>
            <w:pStyle w:val="10"/>
            <w:tabs>
              <w:tab w:val="right" w:leader="dot" w:pos="8306"/>
            </w:tabs>
            <w:rPr>
              <w:rFonts w:hint="eastAsia" w:eastAsia="仿宋_GB2312"/>
              <w:lang w:val="en-US" w:eastAsia="zh-CN"/>
            </w:rPr>
          </w:pPr>
          <w:r>
            <w:rPr>
              <w:rFonts w:ascii="宋体" w:hAnsi="宋体"/>
            </w:rPr>
            <w:fldChar w:fldCharType="begin"/>
          </w:r>
          <w:r>
            <w:rPr>
              <w:rFonts w:ascii="宋体" w:hAnsi="宋体"/>
            </w:rPr>
            <w:instrText xml:space="preserve"> HYPERLINK \l _Toc22886 </w:instrText>
          </w:r>
          <w:r>
            <w:rPr>
              <w:rFonts w:ascii="宋体" w:hAnsi="宋体"/>
            </w:rPr>
            <w:fldChar w:fldCharType="separate"/>
          </w:r>
          <w:r>
            <w:rPr>
              <w:rFonts w:hint="eastAsia" w:ascii="宋体" w:hAnsi="宋体"/>
              <w:lang w:eastAsia="zh-CN"/>
            </w:rPr>
            <w:t>（</w:t>
          </w:r>
          <w:r>
            <w:rPr>
              <w:rFonts w:hint="eastAsia" w:ascii="宋体" w:hAnsi="宋体"/>
              <w:lang w:val="en-US" w:eastAsia="zh-CN"/>
            </w:rPr>
            <w:t>五</w:t>
          </w:r>
          <w:r>
            <w:rPr>
              <w:rFonts w:hint="eastAsia" w:ascii="宋体" w:hAnsi="宋体"/>
              <w:lang w:eastAsia="zh-CN"/>
            </w:rPr>
            <w:t>）</w:t>
          </w:r>
          <w:r>
            <w:rPr>
              <w:rFonts w:hint="eastAsia" w:ascii="宋体" w:hAnsi="宋体"/>
            </w:rPr>
            <w:t>绩效评价工作过程</w:t>
          </w:r>
          <w:r>
            <w:tab/>
          </w:r>
          <w:r>
            <w:rPr>
              <w:rFonts w:hint="eastAsia"/>
              <w:lang w:val="en-US" w:eastAsia="zh-CN"/>
            </w:rPr>
            <w:t>1</w:t>
          </w:r>
          <w:r>
            <w:rPr>
              <w:rFonts w:ascii="宋体" w:hAnsi="宋体"/>
            </w:rPr>
            <w:fldChar w:fldCharType="end"/>
          </w:r>
          <w:r>
            <w:rPr>
              <w:rFonts w:hint="default" w:ascii="Arial" w:hAnsi="Arial" w:cs="Arial"/>
              <w:lang w:val="en-US" w:eastAsia="zh-CN"/>
            </w:rPr>
            <w:t>0</w:t>
          </w:r>
        </w:p>
        <w:p w14:paraId="6531BF08">
          <w:pPr>
            <w:pStyle w:val="9"/>
            <w:tabs>
              <w:tab w:val="right" w:leader="dot" w:pos="8306"/>
            </w:tabs>
            <w:rPr>
              <w:rFonts w:hint="eastAsia" w:eastAsia="仿宋_GB2312"/>
              <w:lang w:val="en-US" w:eastAsia="zh-CN"/>
            </w:rPr>
          </w:pPr>
          <w:r>
            <w:rPr>
              <w:rFonts w:ascii="宋体" w:hAnsi="宋体"/>
            </w:rPr>
            <w:fldChar w:fldCharType="begin"/>
          </w:r>
          <w:r>
            <w:rPr>
              <w:rFonts w:ascii="宋体" w:hAnsi="宋体"/>
            </w:rPr>
            <w:instrText xml:space="preserve"> HYPERLINK \l _Toc20323 </w:instrText>
          </w:r>
          <w:r>
            <w:rPr>
              <w:rFonts w:ascii="宋体" w:hAnsi="宋体"/>
            </w:rPr>
            <w:fldChar w:fldCharType="separate"/>
          </w:r>
          <w:r>
            <w:rPr>
              <w:rFonts w:hint="eastAsia" w:ascii="宋体" w:hAnsi="宋体"/>
              <w:highlight w:val="none"/>
            </w:rPr>
            <w:t>三、综合评价情况及评价结论</w:t>
          </w:r>
          <w:r>
            <w:tab/>
          </w:r>
          <w:r>
            <w:rPr>
              <w:rFonts w:hint="eastAsia"/>
              <w:lang w:val="en-US" w:eastAsia="zh-CN"/>
            </w:rPr>
            <w:t>1</w:t>
          </w:r>
          <w:r>
            <w:rPr>
              <w:rFonts w:ascii="宋体" w:hAnsi="宋体"/>
            </w:rPr>
            <w:fldChar w:fldCharType="end"/>
          </w:r>
          <w:r>
            <w:rPr>
              <w:rFonts w:hint="default" w:ascii="Arial" w:hAnsi="Arial" w:cs="Arial"/>
              <w:lang w:val="en-US" w:eastAsia="zh-CN"/>
            </w:rPr>
            <w:t>1</w:t>
          </w:r>
        </w:p>
        <w:p w14:paraId="17273E7F">
          <w:pPr>
            <w:pStyle w:val="9"/>
            <w:tabs>
              <w:tab w:val="right" w:leader="dot" w:pos="8306"/>
            </w:tabs>
            <w:rPr>
              <w:rFonts w:hint="eastAsia" w:eastAsia="仿宋_GB2312"/>
              <w:lang w:val="en-US" w:eastAsia="zh-CN"/>
            </w:rPr>
          </w:pPr>
          <w:r>
            <w:rPr>
              <w:rFonts w:ascii="宋体" w:hAnsi="宋体"/>
            </w:rPr>
            <w:fldChar w:fldCharType="begin"/>
          </w:r>
          <w:r>
            <w:rPr>
              <w:rFonts w:ascii="宋体" w:hAnsi="宋体"/>
            </w:rPr>
            <w:instrText xml:space="preserve"> HYPERLINK \l _Toc7377 </w:instrText>
          </w:r>
          <w:r>
            <w:rPr>
              <w:rFonts w:ascii="宋体" w:hAnsi="宋体"/>
            </w:rPr>
            <w:fldChar w:fldCharType="separate"/>
          </w:r>
          <w:r>
            <w:rPr>
              <w:rFonts w:hint="eastAsia" w:ascii="宋体" w:hAnsi="宋体"/>
            </w:rPr>
            <w:t>四、绩效评价指标分析</w:t>
          </w:r>
          <w:r>
            <w:tab/>
          </w:r>
          <w:r>
            <w:rPr>
              <w:rFonts w:hint="eastAsia"/>
              <w:lang w:val="en-US" w:eastAsia="zh-CN"/>
            </w:rPr>
            <w:t>1</w:t>
          </w:r>
          <w:r>
            <w:rPr>
              <w:rFonts w:ascii="宋体" w:hAnsi="宋体"/>
            </w:rPr>
            <w:fldChar w:fldCharType="end"/>
          </w:r>
          <w:r>
            <w:rPr>
              <w:rFonts w:hint="default" w:ascii="Arial" w:hAnsi="Arial" w:cs="Arial"/>
              <w:lang w:val="en-US" w:eastAsia="zh-CN"/>
            </w:rPr>
            <w:t>2</w:t>
          </w:r>
        </w:p>
        <w:p w14:paraId="42FF7404">
          <w:pPr>
            <w:pStyle w:val="10"/>
            <w:tabs>
              <w:tab w:val="right" w:leader="dot" w:pos="8306"/>
            </w:tabs>
            <w:rPr>
              <w:rFonts w:hint="eastAsia" w:eastAsia="仿宋_GB2312"/>
              <w:lang w:val="en-US" w:eastAsia="zh-CN"/>
            </w:rPr>
          </w:pPr>
          <w:r>
            <w:rPr>
              <w:rFonts w:ascii="宋体" w:hAnsi="宋体"/>
            </w:rPr>
            <w:fldChar w:fldCharType="begin"/>
          </w:r>
          <w:r>
            <w:rPr>
              <w:rFonts w:ascii="宋体" w:hAnsi="宋体"/>
            </w:rPr>
            <w:instrText xml:space="preserve"> HYPERLINK \l _Toc21959 </w:instrText>
          </w:r>
          <w:r>
            <w:rPr>
              <w:rFonts w:ascii="宋体" w:hAnsi="宋体"/>
            </w:rPr>
            <w:fldChar w:fldCharType="separate"/>
          </w:r>
          <w:r>
            <w:rPr>
              <w:rFonts w:hint="eastAsia" w:ascii="宋体" w:hAnsi="宋体"/>
            </w:rPr>
            <w:t>（一）决策情况分析</w:t>
          </w:r>
          <w:r>
            <w:tab/>
          </w:r>
          <w:r>
            <w:rPr>
              <w:rFonts w:hint="eastAsia"/>
              <w:lang w:val="en-US" w:eastAsia="zh-CN"/>
            </w:rPr>
            <w:t>1</w:t>
          </w:r>
          <w:r>
            <w:rPr>
              <w:rFonts w:ascii="宋体" w:hAnsi="宋体"/>
            </w:rPr>
            <w:fldChar w:fldCharType="end"/>
          </w:r>
          <w:r>
            <w:rPr>
              <w:rFonts w:hint="default" w:ascii="Arial" w:hAnsi="Arial" w:cs="Arial"/>
              <w:lang w:val="en-US" w:eastAsia="zh-CN"/>
            </w:rPr>
            <w:t>2</w:t>
          </w:r>
        </w:p>
        <w:p w14:paraId="4D117485">
          <w:pPr>
            <w:pStyle w:val="7"/>
            <w:tabs>
              <w:tab w:val="right" w:leader="dot" w:pos="8306"/>
            </w:tabs>
            <w:rPr>
              <w:rFonts w:hint="eastAsia" w:eastAsia="仿宋_GB2312"/>
              <w:lang w:val="en-US" w:eastAsia="zh-CN"/>
            </w:rPr>
          </w:pPr>
          <w:r>
            <w:rPr>
              <w:rFonts w:ascii="宋体" w:hAnsi="宋体"/>
            </w:rPr>
            <w:fldChar w:fldCharType="begin"/>
          </w:r>
          <w:r>
            <w:rPr>
              <w:rFonts w:ascii="宋体" w:hAnsi="宋体"/>
            </w:rPr>
            <w:instrText xml:space="preserve"> HYPERLINK \l _Toc30930 </w:instrText>
          </w:r>
          <w:r>
            <w:rPr>
              <w:rFonts w:ascii="宋体" w:hAnsi="宋体"/>
            </w:rPr>
            <w:fldChar w:fldCharType="separate"/>
          </w:r>
          <w:r>
            <w:rPr>
              <w:rFonts w:hint="eastAsia" w:ascii="宋体" w:hAnsi="宋体"/>
            </w:rPr>
            <w:t>1.项目立项</w:t>
          </w:r>
          <w:r>
            <w:tab/>
          </w:r>
          <w:r>
            <w:rPr>
              <w:rFonts w:hint="eastAsia"/>
              <w:lang w:val="en-US" w:eastAsia="zh-CN"/>
            </w:rPr>
            <w:t>1</w:t>
          </w:r>
          <w:r>
            <w:rPr>
              <w:rFonts w:ascii="宋体" w:hAnsi="宋体"/>
            </w:rPr>
            <w:fldChar w:fldCharType="end"/>
          </w:r>
          <w:r>
            <w:rPr>
              <w:rFonts w:hint="default" w:ascii="Arial" w:hAnsi="Arial" w:cs="Arial"/>
              <w:lang w:val="en-US" w:eastAsia="zh-CN"/>
            </w:rPr>
            <w:t>2</w:t>
          </w:r>
        </w:p>
        <w:p w14:paraId="3DAAD267">
          <w:pPr>
            <w:pStyle w:val="7"/>
            <w:tabs>
              <w:tab w:val="right" w:leader="dot" w:pos="8306"/>
            </w:tabs>
            <w:rPr>
              <w:rFonts w:hint="eastAsia" w:eastAsia="仿宋_GB2312"/>
              <w:lang w:val="en-US" w:eastAsia="zh-CN"/>
            </w:rPr>
          </w:pPr>
          <w:r>
            <w:rPr>
              <w:rFonts w:ascii="宋体" w:hAnsi="宋体"/>
            </w:rPr>
            <w:fldChar w:fldCharType="begin"/>
          </w:r>
          <w:r>
            <w:rPr>
              <w:rFonts w:ascii="宋体" w:hAnsi="宋体"/>
            </w:rPr>
            <w:instrText xml:space="preserve"> HYPERLINK \l _Toc20695 </w:instrText>
          </w:r>
          <w:r>
            <w:rPr>
              <w:rFonts w:ascii="宋体" w:hAnsi="宋体"/>
            </w:rPr>
            <w:fldChar w:fldCharType="separate"/>
          </w:r>
          <w:r>
            <w:rPr>
              <w:rFonts w:hint="eastAsia" w:ascii="宋体" w:hAnsi="宋体"/>
            </w:rPr>
            <w:t>2.绩效目标</w:t>
          </w:r>
          <w:r>
            <w:tab/>
          </w:r>
          <w:r>
            <w:rPr>
              <w:rFonts w:hint="eastAsia"/>
              <w:lang w:val="en-US" w:eastAsia="zh-CN"/>
            </w:rPr>
            <w:t>1</w:t>
          </w:r>
          <w:r>
            <w:rPr>
              <w:rFonts w:ascii="宋体" w:hAnsi="宋体"/>
            </w:rPr>
            <w:fldChar w:fldCharType="end"/>
          </w:r>
          <w:r>
            <w:rPr>
              <w:rFonts w:hint="default" w:ascii="Arial" w:hAnsi="Arial" w:cs="Arial"/>
              <w:lang w:val="en-US" w:eastAsia="zh-CN"/>
            </w:rPr>
            <w:t>4</w:t>
          </w:r>
        </w:p>
        <w:p w14:paraId="6CF64333">
          <w:pPr>
            <w:pStyle w:val="7"/>
            <w:tabs>
              <w:tab w:val="right" w:leader="dot" w:pos="8306"/>
            </w:tabs>
            <w:rPr>
              <w:rFonts w:hint="eastAsia" w:eastAsia="仿宋_GB2312"/>
              <w:lang w:val="en-US" w:eastAsia="zh-CN"/>
            </w:rPr>
          </w:pPr>
          <w:r>
            <w:rPr>
              <w:rFonts w:ascii="宋体" w:hAnsi="宋体"/>
            </w:rPr>
            <w:fldChar w:fldCharType="begin"/>
          </w:r>
          <w:r>
            <w:rPr>
              <w:rFonts w:ascii="宋体" w:hAnsi="宋体"/>
            </w:rPr>
            <w:instrText xml:space="preserve"> HYPERLINK \l _Toc17543 </w:instrText>
          </w:r>
          <w:r>
            <w:rPr>
              <w:rFonts w:ascii="宋体" w:hAnsi="宋体"/>
            </w:rPr>
            <w:fldChar w:fldCharType="separate"/>
          </w:r>
          <w:r>
            <w:rPr>
              <w:rFonts w:hint="eastAsia" w:ascii="宋体" w:hAnsi="宋体"/>
            </w:rPr>
            <w:t>3.资金</w:t>
          </w:r>
          <w:r>
            <w:rPr>
              <w:rFonts w:hint="eastAsia" w:ascii="宋体" w:hAnsi="宋体"/>
              <w:lang w:val="en-US" w:eastAsia="zh-CN"/>
            </w:rPr>
            <w:t>分配</w:t>
          </w:r>
          <w:r>
            <w:tab/>
          </w:r>
          <w:r>
            <w:rPr>
              <w:rFonts w:hint="eastAsia"/>
              <w:lang w:val="en-US" w:eastAsia="zh-CN"/>
            </w:rPr>
            <w:t>1</w:t>
          </w:r>
          <w:r>
            <w:rPr>
              <w:rFonts w:ascii="宋体" w:hAnsi="宋体"/>
            </w:rPr>
            <w:fldChar w:fldCharType="end"/>
          </w:r>
          <w:r>
            <w:rPr>
              <w:rFonts w:hint="default" w:ascii="Arial" w:hAnsi="Arial" w:cs="Arial"/>
              <w:lang w:val="en-US" w:eastAsia="zh-CN"/>
            </w:rPr>
            <w:t>4</w:t>
          </w:r>
        </w:p>
        <w:p w14:paraId="69B942E0">
          <w:pPr>
            <w:pStyle w:val="10"/>
            <w:tabs>
              <w:tab w:val="right" w:leader="dot" w:pos="8306"/>
            </w:tabs>
            <w:rPr>
              <w:rFonts w:hint="eastAsia" w:ascii="宋体" w:hAnsi="宋体" w:eastAsia="仿宋_GB2312"/>
              <w:lang w:val="en-US" w:eastAsia="zh-CN"/>
            </w:rPr>
          </w:pPr>
          <w:r>
            <w:rPr>
              <w:rFonts w:ascii="宋体" w:hAnsi="宋体"/>
            </w:rPr>
            <w:fldChar w:fldCharType="begin"/>
          </w:r>
          <w:r>
            <w:rPr>
              <w:rFonts w:ascii="宋体" w:hAnsi="宋体"/>
            </w:rPr>
            <w:instrText xml:space="preserve"> HYPERLINK \l _Toc30894 </w:instrText>
          </w:r>
          <w:r>
            <w:rPr>
              <w:rFonts w:ascii="宋体" w:hAnsi="宋体"/>
            </w:rPr>
            <w:fldChar w:fldCharType="separate"/>
          </w:r>
          <w:r>
            <w:rPr>
              <w:rFonts w:hint="eastAsia" w:ascii="宋体" w:hAnsi="宋体"/>
            </w:rPr>
            <w:t>（二）</w:t>
          </w:r>
          <w:r>
            <w:rPr>
              <w:rFonts w:hint="eastAsia" w:ascii="宋体" w:hAnsi="宋体"/>
              <w:lang w:val="en-US" w:eastAsia="zh-CN"/>
            </w:rPr>
            <w:t>管理</w:t>
          </w:r>
          <w:r>
            <w:rPr>
              <w:rFonts w:hint="eastAsia" w:ascii="宋体" w:hAnsi="宋体"/>
            </w:rPr>
            <w:t>情况分析</w:t>
          </w:r>
          <w:r>
            <w:tab/>
          </w:r>
          <w:r>
            <w:rPr>
              <w:rFonts w:hint="eastAsia"/>
              <w:lang w:val="en-US" w:eastAsia="zh-CN"/>
            </w:rPr>
            <w:t>1</w:t>
          </w:r>
          <w:r>
            <w:rPr>
              <w:rFonts w:ascii="宋体" w:hAnsi="宋体"/>
            </w:rPr>
            <w:fldChar w:fldCharType="end"/>
          </w:r>
          <w:r>
            <w:rPr>
              <w:rFonts w:hint="default" w:ascii="Arial" w:hAnsi="Arial" w:cs="Arial"/>
              <w:lang w:val="en-US" w:eastAsia="zh-CN"/>
            </w:rPr>
            <w:t>5</w:t>
          </w:r>
        </w:p>
        <w:p w14:paraId="44F9D64E">
          <w:pPr>
            <w:pStyle w:val="7"/>
            <w:tabs>
              <w:tab w:val="right" w:leader="dot" w:pos="8306"/>
            </w:tabs>
            <w:rPr>
              <w:rFonts w:hint="eastAsia" w:eastAsia="仿宋_GB2312"/>
              <w:lang w:val="en-US" w:eastAsia="zh-CN"/>
            </w:rPr>
          </w:pPr>
          <w:r>
            <w:rPr>
              <w:rFonts w:ascii="Arial" w:hAnsi="Arial" w:eastAsia="仿宋_GB2312" w:cs="Arial"/>
              <w:snapToGrid w:val="0"/>
              <w:color w:val="000000"/>
              <w:kern w:val="0"/>
              <w:sz w:val="30"/>
              <w:szCs w:val="21"/>
            </w:rPr>
            <w:fldChar w:fldCharType="begin"/>
          </w:r>
          <w:r>
            <w:rPr>
              <w:rFonts w:ascii="Arial" w:hAnsi="Arial" w:eastAsia="仿宋_GB2312" w:cs="Arial"/>
              <w:snapToGrid w:val="0"/>
              <w:color w:val="000000"/>
              <w:kern w:val="0"/>
              <w:sz w:val="30"/>
              <w:szCs w:val="21"/>
            </w:rPr>
            <w:instrText xml:space="preserve"> HYPERLINK \l _Toc30930 </w:instrText>
          </w:r>
          <w:r>
            <w:rPr>
              <w:rFonts w:ascii="Arial" w:hAnsi="Arial" w:eastAsia="仿宋_GB2312" w:cs="Arial"/>
              <w:snapToGrid w:val="0"/>
              <w:color w:val="000000"/>
              <w:kern w:val="0"/>
              <w:sz w:val="30"/>
              <w:szCs w:val="21"/>
            </w:rPr>
            <w:fldChar w:fldCharType="separate"/>
          </w:r>
          <w:r>
            <w:rPr>
              <w:rFonts w:hint="eastAsia" w:ascii="宋体" w:hAnsi="宋体"/>
            </w:rPr>
            <w:t>1.</w:t>
          </w:r>
          <w:r>
            <w:rPr>
              <w:rFonts w:hint="eastAsia" w:ascii="Arial" w:hAnsi="Arial" w:eastAsia="仿宋_GB2312" w:cs="Arial"/>
              <w:snapToGrid w:val="0"/>
              <w:color w:val="000000"/>
              <w:kern w:val="0"/>
              <w:sz w:val="30"/>
              <w:szCs w:val="21"/>
              <w:lang w:val="en-US" w:eastAsia="zh-CN"/>
            </w:rPr>
            <w:t>资金管理</w:t>
          </w:r>
          <w:r>
            <w:rPr>
              <w:rFonts w:ascii="Arial" w:hAnsi="Arial" w:eastAsia="仿宋_GB2312" w:cs="Arial"/>
              <w:snapToGrid w:val="0"/>
              <w:color w:val="000000"/>
              <w:kern w:val="0"/>
              <w:sz w:val="30"/>
              <w:szCs w:val="21"/>
            </w:rPr>
            <w:tab/>
          </w:r>
          <w:r>
            <w:rPr>
              <w:rFonts w:hint="eastAsia" w:ascii="Arial" w:hAnsi="Arial" w:eastAsia="仿宋_GB2312" w:cs="Arial"/>
              <w:snapToGrid w:val="0"/>
              <w:color w:val="000000"/>
              <w:kern w:val="0"/>
              <w:sz w:val="30"/>
              <w:szCs w:val="21"/>
              <w:lang w:val="en-US" w:eastAsia="zh-CN"/>
            </w:rPr>
            <w:t>1</w:t>
          </w:r>
          <w:r>
            <w:rPr>
              <w:rFonts w:ascii="Arial" w:hAnsi="Arial" w:eastAsia="仿宋_GB2312" w:cs="Arial"/>
              <w:snapToGrid w:val="0"/>
              <w:color w:val="000000"/>
              <w:kern w:val="0"/>
              <w:sz w:val="30"/>
              <w:szCs w:val="21"/>
            </w:rPr>
            <w:fldChar w:fldCharType="end"/>
          </w:r>
          <w:r>
            <w:rPr>
              <w:rFonts w:hint="eastAsia" w:ascii="Arial" w:hAnsi="Arial" w:eastAsia="仿宋_GB2312" w:cs="Arial"/>
              <w:snapToGrid w:val="0"/>
              <w:color w:val="000000"/>
              <w:kern w:val="0"/>
              <w:sz w:val="30"/>
              <w:szCs w:val="21"/>
              <w:lang w:val="en-US" w:eastAsia="zh-CN"/>
            </w:rPr>
            <w:t>5</w:t>
          </w:r>
        </w:p>
        <w:p w14:paraId="7A67D3B9">
          <w:pPr>
            <w:pStyle w:val="7"/>
            <w:tabs>
              <w:tab w:val="right" w:leader="dot" w:pos="8306"/>
            </w:tabs>
            <w:rPr>
              <w:rFonts w:hint="eastAsia" w:eastAsia="仿宋_GB2312"/>
              <w:lang w:val="en-US" w:eastAsia="zh-CN"/>
            </w:rPr>
          </w:pPr>
          <w:r>
            <w:rPr>
              <w:rFonts w:ascii="Arial" w:hAnsi="Arial" w:eastAsia="仿宋_GB2312" w:cs="Arial"/>
              <w:snapToGrid w:val="0"/>
              <w:color w:val="000000"/>
              <w:kern w:val="0"/>
              <w:sz w:val="30"/>
              <w:szCs w:val="21"/>
            </w:rPr>
            <w:fldChar w:fldCharType="begin"/>
          </w:r>
          <w:r>
            <w:rPr>
              <w:rFonts w:ascii="Arial" w:hAnsi="Arial" w:eastAsia="仿宋_GB2312" w:cs="Arial"/>
              <w:snapToGrid w:val="0"/>
              <w:color w:val="000000"/>
              <w:kern w:val="0"/>
              <w:sz w:val="30"/>
              <w:szCs w:val="21"/>
            </w:rPr>
            <w:instrText xml:space="preserve"> HYPERLINK \l _Toc20695 </w:instrText>
          </w:r>
          <w:r>
            <w:rPr>
              <w:rFonts w:ascii="Arial" w:hAnsi="Arial" w:eastAsia="仿宋_GB2312" w:cs="Arial"/>
              <w:snapToGrid w:val="0"/>
              <w:color w:val="000000"/>
              <w:kern w:val="0"/>
              <w:sz w:val="30"/>
              <w:szCs w:val="21"/>
            </w:rPr>
            <w:fldChar w:fldCharType="separate"/>
          </w:r>
          <w:r>
            <w:rPr>
              <w:rFonts w:hint="eastAsia" w:ascii="宋体" w:hAnsi="宋体"/>
            </w:rPr>
            <w:t>2.</w:t>
          </w:r>
          <w:r>
            <w:rPr>
              <w:rFonts w:hint="eastAsia" w:ascii="Arial" w:hAnsi="Arial" w:eastAsia="仿宋_GB2312" w:cs="Arial"/>
              <w:snapToGrid w:val="0"/>
              <w:color w:val="000000"/>
              <w:kern w:val="0"/>
              <w:sz w:val="30"/>
              <w:szCs w:val="21"/>
              <w:lang w:val="en-US" w:eastAsia="zh-CN"/>
            </w:rPr>
            <w:t>资金使用</w:t>
          </w:r>
          <w:r>
            <w:rPr>
              <w:rFonts w:ascii="Arial" w:hAnsi="Arial" w:eastAsia="仿宋_GB2312" w:cs="Arial"/>
              <w:snapToGrid w:val="0"/>
              <w:color w:val="000000"/>
              <w:kern w:val="0"/>
              <w:sz w:val="30"/>
              <w:szCs w:val="21"/>
            </w:rPr>
            <w:tab/>
          </w:r>
          <w:r>
            <w:rPr>
              <w:rFonts w:hint="eastAsia" w:ascii="Arial" w:hAnsi="Arial" w:eastAsia="仿宋_GB2312" w:cs="Arial"/>
              <w:snapToGrid w:val="0"/>
              <w:color w:val="000000"/>
              <w:kern w:val="0"/>
              <w:sz w:val="30"/>
              <w:szCs w:val="21"/>
              <w:lang w:val="en-US" w:eastAsia="zh-CN"/>
            </w:rPr>
            <w:t>1</w:t>
          </w:r>
          <w:r>
            <w:rPr>
              <w:rFonts w:ascii="Arial" w:hAnsi="Arial" w:eastAsia="仿宋_GB2312" w:cs="Arial"/>
              <w:snapToGrid w:val="0"/>
              <w:color w:val="000000"/>
              <w:kern w:val="0"/>
              <w:sz w:val="30"/>
              <w:szCs w:val="21"/>
            </w:rPr>
            <w:fldChar w:fldCharType="end"/>
          </w:r>
          <w:r>
            <w:rPr>
              <w:rFonts w:hint="eastAsia" w:ascii="Arial" w:hAnsi="Arial" w:eastAsia="仿宋_GB2312" w:cs="Arial"/>
              <w:snapToGrid w:val="0"/>
              <w:color w:val="000000"/>
              <w:kern w:val="0"/>
              <w:sz w:val="30"/>
              <w:szCs w:val="21"/>
              <w:lang w:val="en-US" w:eastAsia="zh-CN"/>
            </w:rPr>
            <w:t>6</w:t>
          </w:r>
        </w:p>
        <w:p w14:paraId="3AEB3143">
          <w:pPr>
            <w:pStyle w:val="10"/>
            <w:tabs>
              <w:tab w:val="right" w:leader="dot" w:pos="8306"/>
            </w:tabs>
            <w:rPr>
              <w:rFonts w:hint="eastAsia" w:eastAsia="仿宋_GB2312"/>
              <w:lang w:val="en-US" w:eastAsia="zh-CN"/>
            </w:rPr>
          </w:pPr>
          <w:r>
            <w:rPr>
              <w:rFonts w:ascii="宋体" w:hAnsi="宋体"/>
            </w:rPr>
            <w:fldChar w:fldCharType="begin"/>
          </w:r>
          <w:r>
            <w:rPr>
              <w:rFonts w:ascii="宋体" w:hAnsi="宋体"/>
            </w:rPr>
            <w:instrText xml:space="preserve"> HYPERLINK \l _Toc26436 </w:instrText>
          </w:r>
          <w:r>
            <w:rPr>
              <w:rFonts w:ascii="宋体" w:hAnsi="宋体"/>
            </w:rPr>
            <w:fldChar w:fldCharType="separate"/>
          </w:r>
          <w:r>
            <w:rPr>
              <w:rFonts w:hint="eastAsia" w:ascii="宋体" w:hAnsi="宋体"/>
            </w:rPr>
            <w:t>（三）产出情况分析</w:t>
          </w:r>
          <w:r>
            <w:tab/>
          </w:r>
          <w:r>
            <w:rPr>
              <w:rFonts w:hint="eastAsia"/>
              <w:lang w:val="en-US" w:eastAsia="zh-CN"/>
            </w:rPr>
            <w:t>1</w:t>
          </w:r>
          <w:r>
            <w:rPr>
              <w:rFonts w:ascii="宋体" w:hAnsi="宋体"/>
            </w:rPr>
            <w:fldChar w:fldCharType="end"/>
          </w:r>
          <w:r>
            <w:rPr>
              <w:rFonts w:hint="default" w:ascii="Arial" w:hAnsi="Arial" w:cs="Arial"/>
              <w:lang w:val="en-US" w:eastAsia="zh-CN"/>
            </w:rPr>
            <w:t>6</w:t>
          </w:r>
        </w:p>
        <w:p w14:paraId="2ECABEF0">
          <w:pPr>
            <w:pStyle w:val="7"/>
            <w:tabs>
              <w:tab w:val="right" w:leader="dot" w:pos="8306"/>
            </w:tabs>
            <w:rPr>
              <w:rFonts w:hint="eastAsia" w:ascii="宋体" w:hAnsi="宋体"/>
            </w:rPr>
          </w:pPr>
          <w:r>
            <w:rPr>
              <w:rFonts w:ascii="宋体" w:hAnsi="宋体"/>
            </w:rPr>
            <w:fldChar w:fldCharType="begin"/>
          </w:r>
          <w:r>
            <w:rPr>
              <w:rFonts w:ascii="宋体" w:hAnsi="宋体"/>
            </w:rPr>
            <w:instrText xml:space="preserve"> HYPERLINK \l _Toc4172 </w:instrText>
          </w:r>
          <w:r>
            <w:rPr>
              <w:rFonts w:ascii="宋体" w:hAnsi="宋体"/>
            </w:rPr>
            <w:fldChar w:fldCharType="separate"/>
          </w:r>
          <w:r>
            <w:rPr>
              <w:rFonts w:hint="eastAsia" w:ascii="宋体" w:hAnsi="宋体" w:eastAsia="仿宋_GB2312" w:cs="仿宋_GB2312"/>
              <w:i w:val="0"/>
              <w:iCs w:val="0"/>
              <w:caps w:val="0"/>
              <w:color w:val="333333"/>
              <w:spacing w:val="6"/>
              <w:sz w:val="30"/>
              <w:szCs w:val="30"/>
              <w:shd w:val="clear" w:fill="FFFFFF"/>
            </w:rPr>
            <w:t>1.产出数量</w:t>
          </w:r>
          <w:r>
            <w:tab/>
          </w:r>
          <w:r>
            <w:fldChar w:fldCharType="begin"/>
          </w:r>
          <w:r>
            <w:instrText xml:space="preserve"> PAGEREF _Toc26436 \h </w:instrText>
          </w:r>
          <w:r>
            <w:fldChar w:fldCharType="separate"/>
          </w:r>
          <w:r>
            <w:t>16</w:t>
          </w:r>
          <w:r>
            <w:fldChar w:fldCharType="end"/>
          </w:r>
        </w:p>
        <w:p w14:paraId="3D1B49AD">
          <w:pPr>
            <w:pStyle w:val="7"/>
            <w:tabs>
              <w:tab w:val="right" w:leader="dot" w:pos="8306"/>
            </w:tabs>
            <w:rPr>
              <w:rFonts w:hint="eastAsia" w:ascii="宋体" w:hAnsi="宋体"/>
              <w:lang w:val="en-US" w:eastAsia="zh-CN"/>
            </w:rPr>
          </w:pPr>
          <w:r>
            <w:rPr>
              <w:rFonts w:hint="eastAsia" w:ascii="宋体" w:hAnsi="宋体"/>
              <w:lang w:val="en-US" w:eastAsia="zh-CN"/>
            </w:rPr>
            <w:t>2.产出质量</w:t>
          </w:r>
          <w:r>
            <w:tab/>
          </w:r>
          <w:r>
            <w:fldChar w:fldCharType="begin"/>
          </w:r>
          <w:r>
            <w:instrText xml:space="preserve"> PAGEREF _Toc26436 \h </w:instrText>
          </w:r>
          <w:r>
            <w:fldChar w:fldCharType="separate"/>
          </w:r>
          <w:r>
            <w:t>16</w:t>
          </w:r>
          <w:r>
            <w:fldChar w:fldCharType="end"/>
          </w:r>
          <w:r>
            <w:rPr>
              <w:rFonts w:hint="eastAsia" w:ascii="宋体" w:hAnsi="宋体"/>
              <w:lang w:val="en-US" w:eastAsia="zh-CN"/>
            </w:rPr>
            <w:t xml:space="preserve">        </w:t>
          </w:r>
        </w:p>
        <w:p w14:paraId="77F6F654">
          <w:pPr>
            <w:pStyle w:val="7"/>
            <w:tabs>
              <w:tab w:val="right" w:leader="dot" w:pos="8306"/>
            </w:tabs>
            <w:rPr>
              <w:rFonts w:hint="default"/>
              <w:lang w:val="en-US" w:eastAsia="zh-CN"/>
            </w:rPr>
          </w:pPr>
          <w:r>
            <w:rPr>
              <w:rFonts w:hint="eastAsia" w:ascii="宋体" w:hAnsi="宋体"/>
              <w:lang w:val="en-US" w:eastAsia="zh-CN"/>
            </w:rPr>
            <w:t>3.产出时效</w:t>
          </w:r>
          <w:r>
            <w:tab/>
          </w:r>
          <w:r>
            <w:rPr>
              <w:rFonts w:hint="eastAsia"/>
              <w:lang w:val="en-US" w:eastAsia="zh-CN"/>
            </w:rPr>
            <w:t>17</w:t>
          </w:r>
          <w:r>
            <w:rPr>
              <w:rFonts w:hint="eastAsia" w:ascii="宋体" w:hAnsi="宋体"/>
              <w:lang w:val="en-US" w:eastAsia="zh-CN"/>
            </w:rPr>
            <w:t xml:space="preserve">   </w:t>
          </w:r>
        </w:p>
        <w:p w14:paraId="2C32B326">
          <w:pPr>
            <w:pStyle w:val="7"/>
            <w:tabs>
              <w:tab w:val="right" w:leader="dot" w:pos="8306"/>
            </w:tabs>
            <w:rPr>
              <w:rFonts w:hint="eastAsia" w:eastAsia="仿宋_GB2312"/>
              <w:lang w:val="en-US" w:eastAsia="zh-CN"/>
            </w:rPr>
          </w:pPr>
          <w:r>
            <w:rPr>
              <w:rFonts w:hint="eastAsia" w:ascii="宋体" w:hAnsi="宋体"/>
              <w:lang w:val="en-US" w:eastAsia="zh-CN"/>
            </w:rPr>
            <w:t>4.</w:t>
          </w:r>
          <w:r>
            <w:rPr>
              <w:rFonts w:hint="eastAsia" w:ascii="宋体" w:hAnsi="宋体"/>
            </w:rPr>
            <w:t>产出成本</w:t>
          </w:r>
          <w:r>
            <w:tab/>
          </w:r>
          <w:r>
            <w:rPr>
              <w:rFonts w:hint="eastAsia"/>
              <w:lang w:val="en-US" w:eastAsia="zh-CN"/>
            </w:rPr>
            <w:t>1</w:t>
          </w:r>
          <w:r>
            <w:rPr>
              <w:rFonts w:ascii="宋体" w:hAnsi="宋体"/>
            </w:rPr>
            <w:fldChar w:fldCharType="end"/>
          </w:r>
          <w:r>
            <w:rPr>
              <w:rFonts w:hint="default" w:ascii="Arial" w:hAnsi="Arial" w:cs="Arial"/>
              <w:lang w:val="en-US" w:eastAsia="zh-CN"/>
            </w:rPr>
            <w:t>8</w:t>
          </w:r>
        </w:p>
        <w:p w14:paraId="1794B17F">
          <w:pPr>
            <w:pStyle w:val="10"/>
            <w:tabs>
              <w:tab w:val="right" w:leader="dot" w:pos="8306"/>
            </w:tabs>
            <w:rPr>
              <w:rFonts w:hint="eastAsia" w:eastAsia="仿宋_GB2312"/>
              <w:lang w:val="en-US" w:eastAsia="zh-CN"/>
            </w:rPr>
          </w:pPr>
          <w:r>
            <w:rPr>
              <w:rFonts w:ascii="宋体" w:hAnsi="宋体"/>
            </w:rPr>
            <w:fldChar w:fldCharType="begin"/>
          </w:r>
          <w:r>
            <w:rPr>
              <w:rFonts w:ascii="宋体" w:hAnsi="宋体"/>
            </w:rPr>
            <w:instrText xml:space="preserve"> HYPERLINK \l _Toc13577 </w:instrText>
          </w:r>
          <w:r>
            <w:rPr>
              <w:rFonts w:ascii="宋体" w:hAnsi="宋体"/>
            </w:rPr>
            <w:fldChar w:fldCharType="separate"/>
          </w:r>
          <w:r>
            <w:rPr>
              <w:rFonts w:hint="eastAsia" w:ascii="宋体" w:hAnsi="宋体"/>
            </w:rPr>
            <w:t>（四）效益情况分析</w:t>
          </w:r>
          <w:r>
            <w:tab/>
          </w:r>
          <w:r>
            <w:rPr>
              <w:rFonts w:hint="eastAsia"/>
              <w:lang w:val="en-US" w:eastAsia="zh-CN"/>
            </w:rPr>
            <w:t>1</w:t>
          </w:r>
          <w:r>
            <w:rPr>
              <w:rFonts w:ascii="宋体" w:hAnsi="宋体"/>
            </w:rPr>
            <w:fldChar w:fldCharType="end"/>
          </w:r>
          <w:r>
            <w:rPr>
              <w:rFonts w:hint="default" w:ascii="Arial" w:hAnsi="Arial" w:cs="Arial"/>
              <w:lang w:val="en-US" w:eastAsia="zh-CN"/>
            </w:rPr>
            <w:t>8</w:t>
          </w:r>
        </w:p>
        <w:p w14:paraId="6EE7BCC5">
          <w:pPr>
            <w:pStyle w:val="7"/>
            <w:tabs>
              <w:tab w:val="right" w:leader="dot" w:pos="8306"/>
            </w:tabs>
            <w:rPr>
              <w:rFonts w:hint="eastAsia" w:eastAsia="仿宋_GB2312"/>
              <w:lang w:val="en-US" w:eastAsia="zh-CN"/>
            </w:rPr>
          </w:pPr>
          <w:r>
            <w:rPr>
              <w:rFonts w:ascii="宋体" w:hAnsi="宋体"/>
            </w:rPr>
            <w:fldChar w:fldCharType="begin"/>
          </w:r>
          <w:r>
            <w:rPr>
              <w:rFonts w:ascii="宋体" w:hAnsi="宋体"/>
            </w:rPr>
            <w:instrText xml:space="preserve"> HYPERLINK \l _Toc11466 </w:instrText>
          </w:r>
          <w:r>
            <w:rPr>
              <w:rFonts w:ascii="宋体" w:hAnsi="宋体"/>
            </w:rPr>
            <w:fldChar w:fldCharType="separate"/>
          </w:r>
          <w:r>
            <w:rPr>
              <w:rFonts w:hint="eastAsia" w:ascii="宋体" w:hAnsi="宋体"/>
            </w:rPr>
            <w:t>1.社会效益</w:t>
          </w:r>
          <w:r>
            <w:tab/>
          </w:r>
          <w:r>
            <w:rPr>
              <w:rFonts w:hint="eastAsia"/>
              <w:lang w:val="en-US" w:eastAsia="zh-CN"/>
            </w:rPr>
            <w:t>1</w:t>
          </w:r>
          <w:r>
            <w:rPr>
              <w:rFonts w:ascii="宋体" w:hAnsi="宋体"/>
            </w:rPr>
            <w:fldChar w:fldCharType="end"/>
          </w:r>
          <w:r>
            <w:rPr>
              <w:rFonts w:hint="default" w:ascii="Arial" w:hAnsi="Arial" w:cs="Arial"/>
              <w:lang w:val="en-US" w:eastAsia="zh-CN"/>
            </w:rPr>
            <w:t>8</w:t>
          </w:r>
        </w:p>
        <w:p w14:paraId="31A788D9">
          <w:pPr>
            <w:pStyle w:val="7"/>
            <w:tabs>
              <w:tab w:val="right" w:leader="dot" w:pos="8306"/>
            </w:tabs>
            <w:rPr>
              <w:rFonts w:hint="eastAsia" w:eastAsia="仿宋_GB2312"/>
              <w:lang w:val="en-US" w:eastAsia="zh-CN"/>
            </w:rPr>
          </w:pPr>
          <w:r>
            <w:rPr>
              <w:rFonts w:ascii="宋体" w:hAnsi="宋体"/>
            </w:rPr>
            <w:fldChar w:fldCharType="begin"/>
          </w:r>
          <w:r>
            <w:rPr>
              <w:rFonts w:ascii="宋体" w:hAnsi="宋体"/>
            </w:rPr>
            <w:instrText xml:space="preserve"> HYPERLINK \l _Toc845 </w:instrText>
          </w:r>
          <w:r>
            <w:rPr>
              <w:rFonts w:ascii="宋体" w:hAnsi="宋体"/>
            </w:rPr>
            <w:fldChar w:fldCharType="separate"/>
          </w:r>
          <w:r>
            <w:rPr>
              <w:rFonts w:hint="eastAsia" w:ascii="宋体" w:hAnsi="宋体"/>
              <w:lang w:val="en-US" w:eastAsia="zh-CN"/>
            </w:rPr>
            <w:t>2.经济效益</w:t>
          </w:r>
          <w:r>
            <w:tab/>
          </w:r>
          <w:r>
            <w:rPr>
              <w:rFonts w:hint="eastAsia"/>
              <w:lang w:val="en-US" w:eastAsia="zh-CN"/>
            </w:rPr>
            <w:t>1</w:t>
          </w:r>
          <w:r>
            <w:rPr>
              <w:rFonts w:ascii="宋体" w:hAnsi="宋体"/>
            </w:rPr>
            <w:fldChar w:fldCharType="end"/>
          </w:r>
          <w:r>
            <w:rPr>
              <w:rFonts w:hint="default" w:ascii="Arial" w:hAnsi="Arial" w:cs="Arial"/>
              <w:lang w:val="en-US" w:eastAsia="zh-CN"/>
            </w:rPr>
            <w:t>9</w:t>
          </w:r>
        </w:p>
        <w:p w14:paraId="0E12F7AA">
          <w:pPr>
            <w:pStyle w:val="7"/>
            <w:tabs>
              <w:tab w:val="right" w:leader="dot" w:pos="8306"/>
            </w:tabs>
            <w:rPr>
              <w:rFonts w:hint="eastAsia" w:eastAsia="仿宋_GB2312"/>
              <w:lang w:val="en-US" w:eastAsia="zh-CN"/>
            </w:rPr>
          </w:pPr>
          <w:r>
            <w:rPr>
              <w:rFonts w:ascii="宋体" w:hAnsi="宋体"/>
            </w:rPr>
            <w:fldChar w:fldCharType="begin"/>
          </w:r>
          <w:r>
            <w:rPr>
              <w:rFonts w:ascii="宋体" w:hAnsi="宋体"/>
            </w:rPr>
            <w:instrText xml:space="preserve"> HYPERLINK \l _Toc14173 </w:instrText>
          </w:r>
          <w:r>
            <w:rPr>
              <w:rFonts w:ascii="宋体" w:hAnsi="宋体"/>
            </w:rPr>
            <w:fldChar w:fldCharType="separate"/>
          </w:r>
          <w:r>
            <w:rPr>
              <w:rFonts w:hint="eastAsia" w:ascii="宋体" w:hAnsi="宋体"/>
              <w:lang w:val="en-US" w:eastAsia="zh-CN"/>
            </w:rPr>
            <w:t>3.生态效益</w:t>
          </w:r>
          <w:r>
            <w:tab/>
          </w:r>
          <w:r>
            <w:rPr>
              <w:rFonts w:hint="eastAsia"/>
              <w:lang w:val="en-US" w:eastAsia="zh-CN"/>
            </w:rPr>
            <w:t>1</w:t>
          </w:r>
          <w:r>
            <w:rPr>
              <w:rFonts w:ascii="宋体" w:hAnsi="宋体"/>
            </w:rPr>
            <w:fldChar w:fldCharType="end"/>
          </w:r>
          <w:r>
            <w:rPr>
              <w:rFonts w:hint="default" w:ascii="Arial" w:hAnsi="Arial" w:cs="Arial"/>
              <w:lang w:val="en-US" w:eastAsia="zh-CN"/>
            </w:rPr>
            <w:t>9</w:t>
          </w:r>
        </w:p>
        <w:p w14:paraId="0CAA9767">
          <w:pPr>
            <w:pStyle w:val="7"/>
            <w:tabs>
              <w:tab w:val="right" w:leader="dot" w:pos="8306"/>
            </w:tabs>
            <w:rPr>
              <w:rFonts w:hint="eastAsia" w:eastAsia="仿宋_GB2312"/>
              <w:lang w:val="en-US" w:eastAsia="zh-CN"/>
            </w:rPr>
          </w:pPr>
          <w:r>
            <w:rPr>
              <w:rFonts w:ascii="宋体" w:hAnsi="宋体"/>
            </w:rPr>
            <w:fldChar w:fldCharType="begin"/>
          </w:r>
          <w:r>
            <w:rPr>
              <w:rFonts w:ascii="宋体" w:hAnsi="宋体"/>
            </w:rPr>
            <w:instrText xml:space="preserve"> HYPERLINK \l _Toc24976 </w:instrText>
          </w:r>
          <w:r>
            <w:rPr>
              <w:rFonts w:ascii="宋体" w:hAnsi="宋体"/>
            </w:rPr>
            <w:fldChar w:fldCharType="separate"/>
          </w:r>
          <w:r>
            <w:rPr>
              <w:rFonts w:hint="eastAsia" w:ascii="宋体" w:hAnsi="宋体"/>
              <w:lang w:val="en-US" w:eastAsia="zh-CN"/>
            </w:rPr>
            <w:t>4.可持续影响</w:t>
          </w:r>
          <w:r>
            <w:tab/>
          </w:r>
          <w:r>
            <w:rPr>
              <w:rFonts w:hint="eastAsia"/>
              <w:lang w:val="en-US" w:eastAsia="zh-CN"/>
            </w:rPr>
            <w:t>1</w:t>
          </w:r>
          <w:r>
            <w:rPr>
              <w:rFonts w:ascii="宋体" w:hAnsi="宋体"/>
            </w:rPr>
            <w:fldChar w:fldCharType="end"/>
          </w:r>
          <w:r>
            <w:rPr>
              <w:rFonts w:hint="default" w:ascii="Arial" w:hAnsi="Arial" w:cs="Arial"/>
              <w:lang w:val="en-US" w:eastAsia="zh-CN"/>
            </w:rPr>
            <w:t>9</w:t>
          </w:r>
        </w:p>
        <w:p w14:paraId="149E4200">
          <w:pPr>
            <w:pStyle w:val="7"/>
            <w:tabs>
              <w:tab w:val="right" w:leader="dot" w:pos="8306"/>
            </w:tabs>
            <w:rPr>
              <w:rFonts w:hint="eastAsia" w:eastAsia="仿宋_GB2312"/>
              <w:lang w:val="en-US" w:eastAsia="zh-CN"/>
            </w:rPr>
          </w:pPr>
          <w:r>
            <w:rPr>
              <w:rFonts w:ascii="宋体" w:hAnsi="宋体"/>
            </w:rPr>
            <w:fldChar w:fldCharType="begin"/>
          </w:r>
          <w:r>
            <w:rPr>
              <w:rFonts w:ascii="宋体" w:hAnsi="宋体"/>
            </w:rPr>
            <w:instrText xml:space="preserve"> HYPERLINK \l _Toc2110 </w:instrText>
          </w:r>
          <w:r>
            <w:rPr>
              <w:rFonts w:ascii="宋体" w:hAnsi="宋体"/>
            </w:rPr>
            <w:fldChar w:fldCharType="separate"/>
          </w:r>
          <w:r>
            <w:rPr>
              <w:rFonts w:hint="eastAsia" w:ascii="宋体" w:hAnsi="宋体"/>
              <w:lang w:val="en-US" w:eastAsia="zh-CN"/>
            </w:rPr>
            <w:t>5</w:t>
          </w:r>
          <w:r>
            <w:rPr>
              <w:rFonts w:hint="eastAsia" w:ascii="宋体" w:hAnsi="宋体"/>
            </w:rPr>
            <w:t>.满意度</w:t>
          </w:r>
          <w:r>
            <w:tab/>
          </w:r>
          <w:r>
            <w:rPr>
              <w:rFonts w:hint="eastAsia"/>
              <w:lang w:val="en-US" w:eastAsia="zh-CN"/>
            </w:rPr>
            <w:t>2</w:t>
          </w:r>
          <w:r>
            <w:rPr>
              <w:rFonts w:ascii="宋体" w:hAnsi="宋体"/>
            </w:rPr>
            <w:fldChar w:fldCharType="end"/>
          </w:r>
          <w:r>
            <w:rPr>
              <w:rFonts w:hint="default" w:ascii="Arial" w:hAnsi="Arial" w:cs="Arial"/>
              <w:lang w:val="en-US" w:eastAsia="zh-CN"/>
            </w:rPr>
            <w:t>0</w:t>
          </w:r>
        </w:p>
        <w:p w14:paraId="046A0FFC">
          <w:pPr>
            <w:pStyle w:val="9"/>
            <w:tabs>
              <w:tab w:val="right" w:leader="dot" w:pos="8306"/>
            </w:tabs>
            <w:rPr>
              <w:rFonts w:hint="eastAsia" w:eastAsia="仿宋_GB2312"/>
              <w:lang w:val="en-US" w:eastAsia="zh-CN"/>
            </w:rPr>
          </w:pPr>
          <w:r>
            <w:rPr>
              <w:rFonts w:ascii="宋体" w:hAnsi="宋体"/>
            </w:rPr>
            <w:fldChar w:fldCharType="begin"/>
          </w:r>
          <w:r>
            <w:rPr>
              <w:rFonts w:ascii="宋体" w:hAnsi="宋体"/>
            </w:rPr>
            <w:instrText xml:space="preserve"> HYPERLINK \l _Toc31508 </w:instrText>
          </w:r>
          <w:r>
            <w:rPr>
              <w:rFonts w:ascii="宋体" w:hAnsi="宋体"/>
            </w:rPr>
            <w:fldChar w:fldCharType="separate"/>
          </w:r>
          <w:r>
            <w:rPr>
              <w:rFonts w:hint="eastAsia" w:ascii="宋体" w:hAnsi="宋体"/>
            </w:rPr>
            <w:t>五、 存在的问题及原因分析</w:t>
          </w:r>
          <w:r>
            <w:tab/>
          </w:r>
          <w:r>
            <w:rPr>
              <w:rFonts w:hint="eastAsia"/>
              <w:lang w:val="en-US" w:eastAsia="zh-CN"/>
            </w:rPr>
            <w:t>2</w:t>
          </w:r>
          <w:r>
            <w:rPr>
              <w:rFonts w:ascii="宋体" w:hAnsi="宋体"/>
            </w:rPr>
            <w:fldChar w:fldCharType="end"/>
          </w:r>
          <w:r>
            <w:rPr>
              <w:rFonts w:hint="default" w:ascii="Arial" w:hAnsi="Arial" w:cs="Arial"/>
              <w:lang w:val="en-US" w:eastAsia="zh-CN"/>
            </w:rPr>
            <w:t>0</w:t>
          </w:r>
        </w:p>
        <w:p w14:paraId="2B6C1551">
          <w:pPr>
            <w:pStyle w:val="9"/>
            <w:tabs>
              <w:tab w:val="right" w:leader="dot" w:pos="8306"/>
            </w:tabs>
            <w:rPr>
              <w:rFonts w:hint="eastAsia" w:eastAsia="仿宋_GB2312"/>
              <w:lang w:val="en-US" w:eastAsia="zh-CN"/>
            </w:rPr>
          </w:pPr>
          <w:r>
            <w:rPr>
              <w:rFonts w:ascii="宋体" w:hAnsi="宋体"/>
            </w:rPr>
            <w:fldChar w:fldCharType="begin"/>
          </w:r>
          <w:r>
            <w:rPr>
              <w:rFonts w:ascii="宋体" w:hAnsi="宋体"/>
            </w:rPr>
            <w:instrText xml:space="preserve"> HYPERLINK \l _Toc3923 </w:instrText>
          </w:r>
          <w:r>
            <w:rPr>
              <w:rFonts w:ascii="宋体" w:hAnsi="宋体"/>
            </w:rPr>
            <w:fldChar w:fldCharType="separate"/>
          </w:r>
          <w:r>
            <w:rPr>
              <w:rFonts w:hint="eastAsia" w:ascii="宋体" w:hAnsi="宋体"/>
            </w:rPr>
            <w:t>六、有关建议</w:t>
          </w:r>
          <w:r>
            <w:tab/>
          </w:r>
          <w:r>
            <w:rPr>
              <w:rFonts w:hint="eastAsia"/>
              <w:lang w:val="en-US" w:eastAsia="zh-CN"/>
            </w:rPr>
            <w:t>2</w:t>
          </w:r>
          <w:r>
            <w:rPr>
              <w:rFonts w:ascii="宋体" w:hAnsi="宋体"/>
            </w:rPr>
            <w:fldChar w:fldCharType="end"/>
          </w:r>
          <w:r>
            <w:rPr>
              <w:rFonts w:hint="default" w:ascii="Arial" w:hAnsi="Arial" w:cs="Arial"/>
              <w:lang w:val="en-US" w:eastAsia="zh-CN"/>
            </w:rPr>
            <w:t>0</w:t>
          </w:r>
        </w:p>
        <w:p w14:paraId="4F560F71">
          <w:pPr>
            <w:pStyle w:val="9"/>
            <w:tabs>
              <w:tab w:val="right" w:leader="dot" w:pos="8306"/>
            </w:tabs>
            <w:rPr>
              <w:rFonts w:hint="eastAsia" w:eastAsia="仿宋_GB2312"/>
              <w:lang w:val="en-US" w:eastAsia="zh-CN"/>
            </w:rPr>
          </w:pPr>
          <w:r>
            <w:rPr>
              <w:rFonts w:ascii="宋体" w:hAnsi="宋体"/>
            </w:rPr>
            <w:fldChar w:fldCharType="begin"/>
          </w:r>
          <w:r>
            <w:rPr>
              <w:rFonts w:ascii="宋体" w:hAnsi="宋体"/>
            </w:rPr>
            <w:instrText xml:space="preserve"> HYPERLINK \l _Toc13717 </w:instrText>
          </w:r>
          <w:r>
            <w:rPr>
              <w:rFonts w:ascii="宋体" w:hAnsi="宋体"/>
            </w:rPr>
            <w:fldChar w:fldCharType="separate"/>
          </w:r>
          <w:r>
            <w:rPr>
              <w:rFonts w:hint="eastAsia" w:ascii="宋体" w:hAnsi="宋体"/>
            </w:rPr>
            <w:t>七、其他需要说明的问题</w:t>
          </w:r>
          <w:r>
            <w:tab/>
          </w:r>
          <w:r>
            <w:rPr>
              <w:rFonts w:hint="eastAsia"/>
              <w:lang w:val="en-US" w:eastAsia="zh-CN"/>
            </w:rPr>
            <w:t>2</w:t>
          </w:r>
          <w:r>
            <w:rPr>
              <w:rFonts w:ascii="宋体" w:hAnsi="宋体"/>
            </w:rPr>
            <w:fldChar w:fldCharType="end"/>
          </w:r>
          <w:r>
            <w:rPr>
              <w:rFonts w:hint="default" w:ascii="Arial" w:hAnsi="Arial" w:cs="Arial"/>
              <w:lang w:val="en-US" w:eastAsia="zh-CN"/>
            </w:rPr>
            <w:t>1</w:t>
          </w:r>
        </w:p>
        <w:p w14:paraId="24E0E927">
          <w:pPr>
            <w:rPr>
              <w:rFonts w:ascii="宋体" w:hAnsi="宋体"/>
            </w:rPr>
          </w:pPr>
          <w:r>
            <w:rPr>
              <w:rFonts w:ascii="宋体" w:hAnsi="宋体"/>
            </w:rPr>
            <w:fldChar w:fldCharType="end"/>
          </w:r>
        </w:p>
      </w:sdtContent>
    </w:sdt>
    <w:p w14:paraId="5C3796C1">
      <w:pPr>
        <w:keepNext w:val="0"/>
        <w:keepLines w:val="0"/>
        <w:pageBreakBefore w:val="0"/>
        <w:widowControl/>
        <w:kinsoku w:val="0"/>
        <w:wordWrap/>
        <w:overflowPunct/>
        <w:topLinePunct w:val="0"/>
        <w:autoSpaceDE w:val="0"/>
        <w:autoSpaceDN w:val="0"/>
        <w:bidi w:val="0"/>
        <w:adjustRightInd w:val="0"/>
        <w:snapToGrid w:val="0"/>
        <w:spacing w:before="0" w:beforeLines="150" w:after="0" w:line="360" w:lineRule="auto"/>
        <w:jc w:val="center"/>
        <w:textAlignment w:val="baseline"/>
        <w:rPr>
          <w:rFonts w:hint="eastAsia" w:ascii="宋体" w:hAnsi="宋体" w:eastAsia="方正小标宋简体" w:cs="方正小标宋简体"/>
          <w:b/>
          <w:bCs/>
          <w:sz w:val="36"/>
          <w:szCs w:val="36"/>
        </w:rPr>
        <w:sectPr>
          <w:headerReference r:id="rId5" w:type="default"/>
          <w:footerReference r:id="rId6" w:type="default"/>
          <w:pgSz w:w="11906" w:h="16839"/>
          <w:pgMar w:top="1440" w:right="1800" w:bottom="1440" w:left="1800" w:header="0" w:footer="1059" w:gutter="0"/>
          <w:pgNumType w:fmt="decimal" w:start="1"/>
          <w:cols w:space="720" w:num="1"/>
        </w:sectPr>
      </w:pPr>
    </w:p>
    <w:p w14:paraId="18DA99ED">
      <w:pPr>
        <w:keepNext w:val="0"/>
        <w:keepLines w:val="0"/>
        <w:pageBreakBefore w:val="0"/>
        <w:widowControl/>
        <w:kinsoku w:val="0"/>
        <w:wordWrap/>
        <w:overflowPunct/>
        <w:topLinePunct w:val="0"/>
        <w:autoSpaceDE w:val="0"/>
        <w:autoSpaceDN w:val="0"/>
        <w:bidi w:val="0"/>
        <w:adjustRightInd w:val="0"/>
        <w:snapToGrid w:val="0"/>
        <w:spacing w:before="0" w:beforeLines="150" w:after="0" w:line="360" w:lineRule="auto"/>
        <w:jc w:val="center"/>
        <w:textAlignment w:val="baseline"/>
        <w:rPr>
          <w:rFonts w:hint="eastAsia" w:ascii="宋体" w:hAnsi="宋体" w:eastAsia="方正小标宋简体" w:cs="方正小标宋简体"/>
          <w:b/>
          <w:bCs/>
          <w:sz w:val="36"/>
          <w:szCs w:val="36"/>
        </w:rPr>
      </w:pPr>
      <w:r>
        <w:rPr>
          <w:rFonts w:hint="eastAsia" w:ascii="宋体" w:hAnsi="宋体" w:eastAsia="方正小标宋简体" w:cs="方正小标宋简体"/>
          <w:b/>
          <w:bCs/>
          <w:sz w:val="36"/>
          <w:szCs w:val="36"/>
          <w:lang w:val="en-US" w:eastAsia="zh-CN"/>
        </w:rPr>
        <w:t>长春市宽城区医院异地建设</w:t>
      </w:r>
      <w:r>
        <w:rPr>
          <w:rFonts w:hint="eastAsia" w:ascii="宋体" w:hAnsi="宋体" w:eastAsia="方正小标宋简体" w:cs="方正小标宋简体"/>
          <w:b/>
          <w:bCs/>
          <w:sz w:val="36"/>
          <w:szCs w:val="36"/>
        </w:rPr>
        <w:t>项目</w:t>
      </w:r>
    </w:p>
    <w:p w14:paraId="78782AEE">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hint="eastAsia" w:ascii="宋体" w:hAnsi="宋体" w:eastAsia="方正小标宋简体" w:cs="方正小标宋简体"/>
          <w:b/>
          <w:bCs/>
          <w:sz w:val="36"/>
          <w:szCs w:val="36"/>
        </w:rPr>
      </w:pPr>
      <w:r>
        <w:rPr>
          <w:rFonts w:hint="eastAsia" w:ascii="宋体" w:hAnsi="宋体" w:eastAsia="方正小标宋简体" w:cs="方正小标宋简体"/>
          <w:b/>
          <w:bCs/>
          <w:sz w:val="36"/>
          <w:szCs w:val="36"/>
        </w:rPr>
        <w:t>绩效评价报告</w:t>
      </w:r>
    </w:p>
    <w:p w14:paraId="13837C74">
      <w:pPr>
        <w:keepNext w:val="0"/>
        <w:keepLines w:val="0"/>
        <w:pageBreakBefore w:val="0"/>
        <w:widowControl/>
        <w:kinsoku w:val="0"/>
        <w:wordWrap/>
        <w:overflowPunct/>
        <w:topLinePunct w:val="0"/>
        <w:autoSpaceDE w:val="0"/>
        <w:autoSpaceDN w:val="0"/>
        <w:bidi w:val="0"/>
        <w:adjustRightInd w:val="0"/>
        <w:snapToGrid w:val="0"/>
        <w:spacing w:before="0" w:beforeLines="150" w:after="0" w:afterLines="150" w:line="240" w:lineRule="auto"/>
        <w:jc w:val="center"/>
        <w:textAlignment w:val="baseline"/>
        <w:rPr>
          <w:rFonts w:hint="default" w:ascii="宋体" w:hAnsi="宋体" w:eastAsia="方正小标宋简体" w:cs="方正小标宋简体"/>
          <w:b w:val="0"/>
          <w:bCs w:val="0"/>
          <w:sz w:val="24"/>
          <w:szCs w:val="24"/>
          <w:lang w:val="en-US" w:eastAsia="zh-CN"/>
        </w:rPr>
      </w:pPr>
      <w:r>
        <w:rPr>
          <w:rFonts w:hint="eastAsia" w:ascii="宋体" w:hAnsi="宋体" w:eastAsia="方正小标宋简体" w:cs="方正小标宋简体"/>
          <w:b w:val="0"/>
          <w:bCs w:val="0"/>
          <w:sz w:val="24"/>
          <w:szCs w:val="24"/>
          <w:lang w:val="en-US" w:eastAsia="zh-CN"/>
        </w:rPr>
        <w:t>长岳专审字【2025</w:t>
      </w:r>
      <w:r>
        <w:rPr>
          <w:rFonts w:hint="eastAsia" w:ascii="宋体" w:hAnsi="宋体" w:eastAsia="方正小标宋简体" w:cs="方正小标宋简体"/>
          <w:b w:val="0"/>
          <w:bCs w:val="0"/>
          <w:sz w:val="24"/>
          <w:szCs w:val="24"/>
          <w:highlight w:val="none"/>
          <w:lang w:val="en-US" w:eastAsia="zh-CN"/>
        </w:rPr>
        <w:t>】第048号</w:t>
      </w:r>
    </w:p>
    <w:p w14:paraId="50A35BB1">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both"/>
        <w:textAlignment w:val="baseline"/>
        <w:rPr>
          <w:rFonts w:hint="eastAsia" w:ascii="宋体" w:hAnsi="宋体" w:eastAsia="仿宋_GB2312" w:cs="仿宋_GB2312"/>
          <w:i w:val="0"/>
          <w:iCs w:val="0"/>
          <w:caps w:val="0"/>
          <w:color w:val="333333"/>
          <w:spacing w:val="6"/>
          <w:sz w:val="30"/>
          <w:szCs w:val="30"/>
          <w:highlight w:val="none"/>
          <w:shd w:val="clear" w:fill="FFFFFF"/>
          <w:lang w:val="en-US" w:eastAsia="zh-CN"/>
        </w:rPr>
      </w:pPr>
      <w:bookmarkStart w:id="2" w:name="_bookmark2"/>
      <w:bookmarkEnd w:id="2"/>
      <w:bookmarkStart w:id="3" w:name="_bookmark1"/>
      <w:bookmarkEnd w:id="3"/>
      <w:r>
        <w:rPr>
          <w:rFonts w:hint="eastAsia" w:ascii="宋体" w:hAnsi="宋体" w:eastAsia="仿宋_GB2312" w:cs="仿宋_GB2312"/>
          <w:i w:val="0"/>
          <w:iCs w:val="0"/>
          <w:caps w:val="0"/>
          <w:color w:val="333333"/>
          <w:spacing w:val="6"/>
          <w:sz w:val="30"/>
          <w:szCs w:val="30"/>
          <w:highlight w:val="none"/>
          <w:shd w:val="clear" w:fill="FFFFFF"/>
          <w:lang w:val="en-US" w:eastAsia="zh-CN"/>
        </w:rPr>
        <w:t>为加强财政支出管理，提高财政资金使用效益，根据《中华人民共和国预算法》《中共中央国务院关于全面实施预算绩效管理的意见》（中发【2018】34号）</w:t>
      </w:r>
      <w:r>
        <w:rPr>
          <w:rFonts w:hint="eastAsia" w:ascii="宋体" w:hAnsi="宋体" w:cs="仿宋_GB2312"/>
          <w:i w:val="0"/>
          <w:iCs w:val="0"/>
          <w:caps w:val="0"/>
          <w:color w:val="333333"/>
          <w:spacing w:val="6"/>
          <w:sz w:val="30"/>
          <w:szCs w:val="30"/>
          <w:highlight w:val="none"/>
          <w:shd w:val="clear" w:fill="FFFFFF"/>
          <w:lang w:val="en-US" w:eastAsia="zh-CN"/>
        </w:rPr>
        <w:t>、</w:t>
      </w:r>
      <w:r>
        <w:rPr>
          <w:rFonts w:hint="eastAsia" w:ascii="宋体" w:hAnsi="宋体" w:eastAsia="仿宋_GB2312" w:cs="仿宋_GB2312"/>
          <w:i w:val="0"/>
          <w:iCs w:val="0"/>
          <w:caps w:val="0"/>
          <w:color w:val="333333"/>
          <w:spacing w:val="6"/>
          <w:sz w:val="30"/>
          <w:szCs w:val="30"/>
          <w:highlight w:val="none"/>
          <w:shd w:val="clear" w:fill="FFFFFF"/>
          <w:lang w:val="en-US" w:eastAsia="zh-CN"/>
        </w:rPr>
        <w:t>《地方政府专项债券项目资金绩效管理办法》（财预【2021】61号）、《吉林省地方政府专项债券项目绩效评价管理办法（试行）》（吉财债【2021】1044</w:t>
      </w:r>
      <w:r>
        <w:rPr>
          <w:rFonts w:hint="eastAsia" w:ascii="宋体" w:hAnsi="宋体" w:cs="仿宋_GB2312"/>
          <w:i w:val="0"/>
          <w:iCs w:val="0"/>
          <w:caps w:val="0"/>
          <w:color w:val="333333"/>
          <w:spacing w:val="6"/>
          <w:sz w:val="30"/>
          <w:szCs w:val="30"/>
          <w:highlight w:val="none"/>
          <w:shd w:val="clear" w:fill="FFFFFF"/>
          <w:lang w:val="en-US" w:eastAsia="zh-CN"/>
        </w:rPr>
        <w:t>号）</w:t>
      </w:r>
      <w:r>
        <w:rPr>
          <w:rFonts w:hint="eastAsia" w:ascii="宋体" w:hAnsi="宋体" w:eastAsia="仿宋_GB2312" w:cs="仿宋_GB2312"/>
          <w:i w:val="0"/>
          <w:iCs w:val="0"/>
          <w:caps w:val="0"/>
          <w:color w:val="333333"/>
          <w:spacing w:val="6"/>
          <w:sz w:val="30"/>
          <w:szCs w:val="30"/>
          <w:highlight w:val="none"/>
          <w:shd w:val="clear" w:fill="FFFFFF"/>
          <w:lang w:val="en-US" w:eastAsia="zh-CN"/>
        </w:rPr>
        <w:t>、《吉林省项目支出预算绩效目标管理办法》（吉财绩【2021】1333号）、《国家发展改革委关于加强中央预算内投资项目概算调整管理的通知》（发改投资【2009】1550号）、《关于印发</w:t>
      </w:r>
      <w:r>
        <w:rPr>
          <w:rFonts w:hint="eastAsia" w:ascii="宋体" w:hAnsi="宋体" w:cs="仿宋_GB2312"/>
          <w:i w:val="0"/>
          <w:iCs w:val="0"/>
          <w:caps w:val="0"/>
          <w:color w:val="333333"/>
          <w:spacing w:val="6"/>
          <w:sz w:val="30"/>
          <w:szCs w:val="30"/>
          <w:highlight w:val="none"/>
          <w:shd w:val="clear" w:fill="FFFFFF"/>
          <w:lang w:val="en-US" w:eastAsia="zh-CN"/>
        </w:rPr>
        <w:t>〈</w:t>
      </w:r>
      <w:r>
        <w:rPr>
          <w:rFonts w:hint="eastAsia" w:ascii="宋体" w:hAnsi="宋体" w:eastAsia="仿宋_GB2312" w:cs="仿宋_GB2312"/>
          <w:i w:val="0"/>
          <w:iCs w:val="0"/>
          <w:caps w:val="0"/>
          <w:color w:val="333333"/>
          <w:spacing w:val="6"/>
          <w:sz w:val="30"/>
          <w:szCs w:val="30"/>
          <w:highlight w:val="none"/>
          <w:shd w:val="clear" w:fill="FFFFFF"/>
          <w:lang w:val="en-US" w:eastAsia="zh-CN"/>
        </w:rPr>
        <w:t>基本建设项目建设成本管理规定</w:t>
      </w:r>
      <w:r>
        <w:rPr>
          <w:rFonts w:hint="eastAsia" w:ascii="宋体" w:hAnsi="宋体" w:cs="仿宋_GB2312"/>
          <w:i w:val="0"/>
          <w:iCs w:val="0"/>
          <w:caps w:val="0"/>
          <w:color w:val="333333"/>
          <w:spacing w:val="6"/>
          <w:sz w:val="30"/>
          <w:szCs w:val="30"/>
          <w:highlight w:val="none"/>
          <w:shd w:val="clear" w:fill="FFFFFF"/>
          <w:lang w:val="en-US" w:eastAsia="zh-CN"/>
        </w:rPr>
        <w:t>〉</w:t>
      </w:r>
      <w:r>
        <w:rPr>
          <w:rFonts w:hint="eastAsia" w:ascii="宋体" w:hAnsi="宋体" w:eastAsia="仿宋_GB2312" w:cs="仿宋_GB2312"/>
          <w:i w:val="0"/>
          <w:iCs w:val="0"/>
          <w:caps w:val="0"/>
          <w:color w:val="333333"/>
          <w:spacing w:val="6"/>
          <w:sz w:val="30"/>
          <w:szCs w:val="30"/>
          <w:highlight w:val="none"/>
          <w:shd w:val="clear" w:fill="FFFFFF"/>
          <w:lang w:val="en-US" w:eastAsia="zh-CN"/>
        </w:rPr>
        <w:t>的通知》（财建【2016】504号）、《关于委托第三方机构参与预算绩效管理的指导意见》（财预【2021】6号）等文件要求，</w:t>
      </w:r>
      <w:r>
        <w:rPr>
          <w:rFonts w:hint="eastAsia" w:ascii="宋体" w:hAnsi="宋体" w:cs="仿宋_GB2312"/>
          <w:i w:val="0"/>
          <w:iCs w:val="0"/>
          <w:caps w:val="0"/>
          <w:color w:val="333333"/>
          <w:spacing w:val="6"/>
          <w:sz w:val="30"/>
          <w:szCs w:val="30"/>
          <w:highlight w:val="none"/>
          <w:shd w:val="clear" w:fill="FFFFFF"/>
          <w:lang w:val="en-US" w:eastAsia="zh-CN"/>
        </w:rPr>
        <w:t>长春宽城</w:t>
      </w:r>
      <w:r>
        <w:rPr>
          <w:rFonts w:hint="eastAsia" w:ascii="宋体" w:hAnsi="宋体" w:eastAsia="仿宋_GB2312" w:cs="仿宋_GB2312"/>
          <w:i w:val="0"/>
          <w:iCs w:val="0"/>
          <w:caps w:val="0"/>
          <w:color w:val="333333"/>
          <w:spacing w:val="6"/>
          <w:sz w:val="30"/>
          <w:szCs w:val="30"/>
          <w:highlight w:val="none"/>
          <w:shd w:val="clear" w:fill="FFFFFF"/>
          <w:lang w:val="en-US" w:eastAsia="zh-CN"/>
        </w:rPr>
        <w:t>经济开发区管理委员会委托长春岳华会计事务所（普通合伙）于202</w:t>
      </w:r>
      <w:r>
        <w:rPr>
          <w:rFonts w:hint="eastAsia" w:ascii="宋体" w:hAnsi="宋体" w:cs="仿宋_GB2312"/>
          <w:i w:val="0"/>
          <w:iCs w:val="0"/>
          <w:caps w:val="0"/>
          <w:color w:val="333333"/>
          <w:spacing w:val="6"/>
          <w:sz w:val="30"/>
          <w:szCs w:val="30"/>
          <w:highlight w:val="none"/>
          <w:shd w:val="clear" w:fill="FFFFFF"/>
          <w:lang w:val="en-US" w:eastAsia="zh-CN"/>
        </w:rPr>
        <w:t>5</w:t>
      </w:r>
      <w:r>
        <w:rPr>
          <w:rFonts w:hint="eastAsia" w:ascii="宋体" w:hAnsi="宋体" w:eastAsia="仿宋_GB2312" w:cs="仿宋_GB2312"/>
          <w:i w:val="0"/>
          <w:iCs w:val="0"/>
          <w:caps w:val="0"/>
          <w:color w:val="333333"/>
          <w:spacing w:val="6"/>
          <w:sz w:val="30"/>
          <w:szCs w:val="30"/>
          <w:highlight w:val="none"/>
          <w:shd w:val="clear" w:fill="FFFFFF"/>
          <w:lang w:val="en-US" w:eastAsia="zh-CN"/>
        </w:rPr>
        <w:t>年5月对</w:t>
      </w:r>
      <w:r>
        <w:rPr>
          <w:rFonts w:hint="eastAsia" w:ascii="宋体" w:hAnsi="宋体" w:cs="仿宋_GB2312"/>
          <w:i w:val="0"/>
          <w:iCs w:val="0"/>
          <w:caps w:val="0"/>
          <w:color w:val="333333"/>
          <w:spacing w:val="6"/>
          <w:sz w:val="30"/>
          <w:szCs w:val="30"/>
          <w:highlight w:val="none"/>
          <w:shd w:val="clear" w:fill="FFFFFF"/>
          <w:lang w:val="en-US" w:eastAsia="zh-CN"/>
        </w:rPr>
        <w:t>长春宽城区医院异地建设项目（简称“本项目”）</w:t>
      </w:r>
      <w:r>
        <w:rPr>
          <w:rFonts w:hint="eastAsia" w:ascii="宋体" w:hAnsi="宋体" w:eastAsia="仿宋_GB2312" w:cs="仿宋_GB2312"/>
          <w:i w:val="0"/>
          <w:iCs w:val="0"/>
          <w:caps w:val="0"/>
          <w:color w:val="333333"/>
          <w:spacing w:val="6"/>
          <w:sz w:val="30"/>
          <w:szCs w:val="30"/>
          <w:highlight w:val="none"/>
          <w:shd w:val="clear" w:fill="FFFFFF"/>
          <w:lang w:val="en-US" w:eastAsia="zh-CN"/>
        </w:rPr>
        <w:t>开展</w:t>
      </w:r>
      <w:r>
        <w:rPr>
          <w:rFonts w:hint="eastAsia" w:ascii="宋体" w:hAnsi="宋体" w:cs="仿宋_GB2312"/>
          <w:i w:val="0"/>
          <w:iCs w:val="0"/>
          <w:caps w:val="0"/>
          <w:color w:val="333333"/>
          <w:spacing w:val="6"/>
          <w:sz w:val="30"/>
          <w:szCs w:val="30"/>
          <w:highlight w:val="none"/>
          <w:shd w:val="clear" w:fill="FFFFFF"/>
          <w:lang w:val="en-US" w:eastAsia="zh-CN"/>
        </w:rPr>
        <w:t>2024年度</w:t>
      </w:r>
      <w:r>
        <w:rPr>
          <w:rFonts w:hint="eastAsia" w:ascii="宋体" w:hAnsi="宋体" w:eastAsia="仿宋_GB2312" w:cs="仿宋_GB2312"/>
          <w:i w:val="0"/>
          <w:iCs w:val="0"/>
          <w:caps w:val="0"/>
          <w:color w:val="333333"/>
          <w:spacing w:val="6"/>
          <w:sz w:val="30"/>
          <w:szCs w:val="30"/>
          <w:highlight w:val="none"/>
          <w:shd w:val="clear" w:fill="FFFFFF"/>
          <w:lang w:val="en-US" w:eastAsia="zh-CN"/>
        </w:rPr>
        <w:t>绩效评价。评价采用定量和定性分析相结合的方法，实施了资料审阅、账务核实、现场查勘、询问、分析计算等必要的评价程序，从项目决策、管理、产出、效益等方面进行了综合评价。现将评价情况报告如下：</w:t>
      </w:r>
    </w:p>
    <w:p w14:paraId="260F22D1">
      <w:pPr>
        <w:pStyle w:val="3"/>
        <w:bidi w:val="0"/>
        <w:rPr>
          <w:rFonts w:hint="eastAsia" w:ascii="宋体" w:hAnsi="宋体"/>
          <w:lang w:val="en-US" w:eastAsia="zh-CN"/>
        </w:rPr>
      </w:pPr>
      <w:bookmarkStart w:id="4" w:name="_Toc13332"/>
      <w:r>
        <w:rPr>
          <w:rFonts w:hint="eastAsia" w:ascii="宋体" w:hAnsi="宋体"/>
          <w:lang w:val="en-US" w:eastAsia="zh-CN"/>
        </w:rPr>
        <w:t>一、项目概况</w:t>
      </w:r>
      <w:bookmarkEnd w:id="4"/>
    </w:p>
    <w:p w14:paraId="01B958E2">
      <w:pPr>
        <w:pStyle w:val="2"/>
        <w:bidi w:val="0"/>
        <w:rPr>
          <w:rFonts w:hint="eastAsia" w:ascii="宋体" w:hAnsi="宋体"/>
          <w:lang w:val="en-US" w:eastAsia="zh-CN"/>
        </w:rPr>
      </w:pPr>
      <w:bookmarkStart w:id="5" w:name="_Toc32104"/>
      <w:r>
        <w:rPr>
          <w:rFonts w:hint="eastAsia" w:ascii="宋体" w:hAnsi="宋体"/>
          <w:lang w:val="en-US" w:eastAsia="zh-CN"/>
        </w:rPr>
        <w:t>（一）项目立项的背景和目标</w:t>
      </w:r>
      <w:bookmarkEnd w:id="5"/>
    </w:p>
    <w:p w14:paraId="55C5E1AC">
      <w:pPr>
        <w:pStyle w:val="4"/>
        <w:bidi w:val="0"/>
        <w:rPr>
          <w:rFonts w:hint="eastAsia" w:ascii="宋体" w:hAnsi="宋体"/>
          <w:lang w:val="en-US" w:eastAsia="zh-CN"/>
        </w:rPr>
      </w:pPr>
      <w:bookmarkStart w:id="6" w:name="_Toc24168"/>
      <w:bookmarkStart w:id="7" w:name="_Toc20436"/>
      <w:bookmarkStart w:id="8" w:name="_Toc25668"/>
      <w:r>
        <w:rPr>
          <w:rFonts w:hint="eastAsia" w:ascii="宋体" w:hAnsi="宋体"/>
          <w:lang w:val="en-US" w:eastAsia="zh-CN"/>
        </w:rPr>
        <w:t>1.项目立项的背景</w:t>
      </w:r>
      <w:bookmarkEnd w:id="6"/>
      <w:bookmarkEnd w:id="7"/>
      <w:bookmarkEnd w:id="8"/>
    </w:p>
    <w:p w14:paraId="28F32869">
      <w:pPr>
        <w:keepNext w:val="0"/>
        <w:keepLines w:val="0"/>
        <w:pageBreakBefore w:val="0"/>
        <w:widowControl w:val="0"/>
        <w:wordWrap/>
        <w:overflowPunct/>
        <w:topLinePunct w:val="0"/>
        <w:bidi w:val="0"/>
        <w:spacing w:line="360" w:lineRule="auto"/>
        <w:ind w:left="0" w:right="0" w:firstLine="624" w:firstLineChars="200"/>
        <w:jc w:val="left"/>
        <w:textAlignment w:val="baseline"/>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pP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长春市宽城区医院（以下简称宽城区医院）建于1957年，是一所集医疗、预防、保健、康复、教学指导为一体的综合性二级乙等医院。2005年宽城区医院与宽城区铁北医院整合，宽城区医院分为一部和二部，一部位于吴淞路522号，二部位于铁北二路577号；2011年8月医院整体迁入新址，新址位于宽城区青岛路107号；2011年10月16日医院正式开业，全面投入使用。</w:t>
      </w:r>
    </w:p>
    <w:p w14:paraId="340A1D73">
      <w:pPr>
        <w:keepNext w:val="0"/>
        <w:keepLines w:val="0"/>
        <w:pageBreakBefore w:val="0"/>
        <w:widowControl w:val="0"/>
        <w:wordWrap/>
        <w:overflowPunct/>
        <w:topLinePunct w:val="0"/>
        <w:bidi w:val="0"/>
        <w:spacing w:line="360" w:lineRule="auto"/>
        <w:ind w:left="0" w:right="0" w:firstLine="624" w:firstLineChars="200"/>
        <w:jc w:val="left"/>
        <w:textAlignment w:val="baseline"/>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pP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目前，宽城区医院总占地面积10232平方米，建筑面积12833.05平方米，医院编制床位260张、开放床位221张。医院现有128排CT、16排CT、DR、数字化彩色超声诊断仪、全自动生化分析仪等先进的医疗设备为临床诊治提供了科学保证。2020年门诊人次16万人，住院人次0.0382万人。医院设有三个内科疗区及外科、妇产科疗区，现有手术室3间，一间为万级层流净化，其余两间手术室为十万级层流净化。现肾病科设血液透析机9台，血液透析滤过机2台，基本满足了宽城区透析患者的需要。门诊设有急诊、慢病、中医科、康复医学等16个科室。</w:t>
      </w:r>
    </w:p>
    <w:p w14:paraId="62120A3E">
      <w:pPr>
        <w:keepNext w:val="0"/>
        <w:keepLines w:val="0"/>
        <w:pageBreakBefore w:val="0"/>
        <w:widowControl w:val="0"/>
        <w:wordWrap/>
        <w:overflowPunct/>
        <w:topLinePunct w:val="0"/>
        <w:bidi w:val="0"/>
        <w:spacing w:line="360" w:lineRule="auto"/>
        <w:ind w:left="0" w:right="0" w:firstLine="624" w:firstLineChars="200"/>
        <w:jc w:val="left"/>
        <w:textAlignment w:val="baseline"/>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pP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随着宽城区医院业务量的快速发展，医院的业务用房已远不能满足现在及将来发展的需要，严重影响该院的发展和业务的开展。随着新型冠状病毒全球爆发并波及全国乃至全球，疫情防控战将持续开展，开展疑似病例和确诊病例的医疗救治工作，以及防护工作将持续进行，特别是发热门诊为相关患者提供诊疗服务需求进一步扩大。随着人民群众对医疗服务需求的日益提高，宽城区医院业务用房紧张的情况还难以解决人民群众看病难等问题，无法满足人民群众对医疗卫生服务日益提高的需求。目前宽城区每千常住人口拥有床位约4.95张，与吉卫医发〔2016〕16 号文规划目标仍存在差距。</w:t>
      </w:r>
    </w:p>
    <w:p w14:paraId="22FE5DC0">
      <w:pPr>
        <w:keepNext w:val="0"/>
        <w:keepLines w:val="0"/>
        <w:pageBreakBefore w:val="0"/>
        <w:widowControl w:val="0"/>
        <w:wordWrap/>
        <w:overflowPunct/>
        <w:topLinePunct w:val="0"/>
        <w:bidi w:val="0"/>
        <w:spacing w:line="360" w:lineRule="auto"/>
        <w:ind w:left="0" w:right="0" w:firstLine="624" w:firstLineChars="200"/>
        <w:jc w:val="left"/>
        <w:textAlignment w:val="baseline"/>
        <w:rPr>
          <w:rFonts w:hint="eastAsia" w:ascii="宋体" w:hAnsi="宋体" w:eastAsia="仿宋_GB2312" w:cs="仿宋_GB2312"/>
          <w:b w:val="0"/>
          <w:bCs w:val="0"/>
          <w:i w:val="0"/>
          <w:iCs w:val="0"/>
          <w:caps w:val="0"/>
          <w:snapToGrid w:val="0"/>
          <w:color w:val="333333"/>
          <w:spacing w:val="6"/>
          <w:kern w:val="0"/>
          <w:sz w:val="30"/>
          <w:szCs w:val="30"/>
          <w:highlight w:val="none"/>
          <w:shd w:val="clear" w:fill="FFFFFF"/>
          <w:lang w:val="en-US" w:eastAsia="zh-CN" w:bidi="ar"/>
        </w:rPr>
      </w:pP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本项目建成后将为宽城区提供一个优质的医疗卫生服务资源，有利于改善和提高医疗卫生环境和条件，使群众享受到优质、高效的医疗卫生服务。</w:t>
      </w:r>
    </w:p>
    <w:p w14:paraId="1457E0B9">
      <w:pPr>
        <w:pStyle w:val="4"/>
        <w:bidi w:val="0"/>
        <w:rPr>
          <w:rFonts w:hint="eastAsia" w:ascii="宋体" w:hAnsi="宋体"/>
          <w:lang w:val="en-US" w:eastAsia="zh-CN"/>
        </w:rPr>
      </w:pPr>
      <w:bookmarkStart w:id="9" w:name="_Toc10199"/>
      <w:bookmarkStart w:id="10" w:name="_Toc3182"/>
      <w:bookmarkStart w:id="11" w:name="_Toc9951"/>
      <w:r>
        <w:rPr>
          <w:rFonts w:hint="eastAsia" w:ascii="宋体" w:hAnsi="宋体"/>
          <w:lang w:val="en-US" w:eastAsia="zh-CN"/>
        </w:rPr>
        <w:t>2.项目实施单位基本情况</w:t>
      </w:r>
      <w:bookmarkEnd w:id="9"/>
      <w:bookmarkEnd w:id="10"/>
      <w:bookmarkEnd w:id="11"/>
    </w:p>
    <w:p w14:paraId="38E703D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pP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项目</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建设</w:t>
      </w: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单位：</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长春市宽城区医院</w:t>
      </w: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（以下简称“</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宽城区医院</w:t>
      </w: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统一社会信用代码：12220103423973330A，法定代表人：刘国辉，开办资金：23843万，经费来源：财政补助（差额补贴），举办单位：长春市宽城区卫生健康局，住所：长春市宽城区青岛路107号，宗旨和业务范围：为人民身体健康提供医疗与护理保健服务。内、外、妇产、儿科、口腔、皮肤、美容、性病、检验、放射线、中医、家庭病床、CT、电诊、药剂、介入、神经、骨肿瘤，医科大中专生临床实习</w:t>
      </w: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w:t>
      </w:r>
    </w:p>
    <w:p w14:paraId="29591E9C">
      <w:pPr>
        <w:pStyle w:val="4"/>
        <w:bidi w:val="0"/>
        <w:rPr>
          <w:rFonts w:hint="eastAsia" w:ascii="宋体" w:hAnsi="宋体"/>
          <w:lang w:val="en-US" w:eastAsia="zh-CN"/>
        </w:rPr>
      </w:pPr>
      <w:bookmarkStart w:id="12" w:name="_Toc8078"/>
      <w:bookmarkStart w:id="13" w:name="_Toc29338"/>
      <w:bookmarkStart w:id="14" w:name="_Toc26238"/>
      <w:r>
        <w:rPr>
          <w:rFonts w:hint="eastAsia" w:ascii="宋体" w:hAnsi="宋体"/>
          <w:lang w:val="en-US" w:eastAsia="zh-CN"/>
        </w:rPr>
        <w:t>3.项目实施内容</w:t>
      </w:r>
      <w:bookmarkEnd w:id="12"/>
      <w:bookmarkEnd w:id="13"/>
      <w:bookmarkEnd w:id="14"/>
    </w:p>
    <w:p w14:paraId="20FFACBA">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hint="default" w:ascii="宋体" w:hAnsi="宋体" w:eastAsia="仿宋_GB2312" w:cs="仿宋_GB2312"/>
          <w:b w:val="0"/>
          <w:bCs/>
          <w:i w:val="0"/>
          <w:iCs w:val="0"/>
          <w:caps w:val="0"/>
          <w:snapToGrid w:val="0"/>
          <w:color w:val="333333"/>
          <w:spacing w:val="6"/>
          <w:kern w:val="0"/>
          <w:sz w:val="30"/>
          <w:szCs w:val="30"/>
          <w:highlight w:val="none"/>
          <w:shd w:val="clear" w:fill="FFFFFF"/>
          <w:lang w:val="en-US" w:eastAsia="zh-CN" w:bidi="ar"/>
        </w:rPr>
      </w:pPr>
      <w:r>
        <w:rPr>
          <w:rFonts w:hint="eastAsia" w:ascii="宋体" w:hAnsi="宋体" w:eastAsia="仿宋_GB2312" w:cs="仿宋_GB2312"/>
          <w:b w:val="0"/>
          <w:bCs/>
          <w:i w:val="0"/>
          <w:iCs w:val="0"/>
          <w:caps w:val="0"/>
          <w:snapToGrid w:val="0"/>
          <w:color w:val="333333"/>
          <w:spacing w:val="6"/>
          <w:kern w:val="0"/>
          <w:sz w:val="30"/>
          <w:szCs w:val="30"/>
          <w:highlight w:val="none"/>
          <w:shd w:val="clear" w:fill="FFFFFF"/>
          <w:lang w:val="en-US" w:eastAsia="zh-CN" w:bidi="ar"/>
        </w:rPr>
        <w:t>本项目建设地点位于宽城经济开发区北凯旋路以东、居住用地以西、丙四十一路以南、乙七路以北。</w:t>
      </w:r>
      <w:r>
        <w:rPr>
          <w:rFonts w:hint="eastAsia" w:ascii="宋体" w:hAnsi="宋体" w:cs="仿宋_GB2312"/>
          <w:b w:val="0"/>
          <w:bCs/>
          <w:i w:val="0"/>
          <w:iCs w:val="0"/>
          <w:caps w:val="0"/>
          <w:snapToGrid w:val="0"/>
          <w:color w:val="333333"/>
          <w:spacing w:val="6"/>
          <w:kern w:val="0"/>
          <w:sz w:val="30"/>
          <w:szCs w:val="30"/>
          <w:highlight w:val="none"/>
          <w:shd w:val="clear" w:fill="FFFFFF"/>
          <w:lang w:val="en-US" w:eastAsia="zh-CN" w:bidi="ar"/>
        </w:rPr>
        <w:t>根据《宽城区发展和改革局关于调整长春市宽城区医院异地建设项目初步设计的批复》（长宽发改字【2023】16号），本项目建设规模及内容：</w:t>
      </w:r>
      <w:r>
        <w:rPr>
          <w:rFonts w:hint="eastAsia" w:ascii="宋体" w:hAnsi="宋体" w:eastAsia="仿宋_GB2312" w:cs="仿宋_GB2312"/>
          <w:b w:val="0"/>
          <w:bCs/>
          <w:i w:val="0"/>
          <w:iCs w:val="0"/>
          <w:caps w:val="0"/>
          <w:snapToGrid w:val="0"/>
          <w:color w:val="333333"/>
          <w:spacing w:val="6"/>
          <w:kern w:val="0"/>
          <w:sz w:val="30"/>
          <w:szCs w:val="30"/>
          <w:highlight w:val="none"/>
          <w:shd w:val="clear" w:fill="FFFFFF"/>
          <w:lang w:val="en-US" w:eastAsia="zh-CN" w:bidi="ar"/>
        </w:rPr>
        <w:t>按照二乙级医院建设标准，新建门诊医技住院综合楼、发热门诊楼、门卫处、污水处理垃圾处理处，用地面积30000.00平方米，总建筑面积46722.72平方米，地上建筑面积35557.34平方米，包括门诊医技住院 综合楼33233.26平方米，发热门诊楼2056.00平方米，污水 处理垃圾暂存268.08平方米；地下建筑面积11165.38平方米。含场地、大门、围墙、充电车位等，以及红线内室外电力外网管线、弱电外网管线、室外道路照明等。</w:t>
      </w:r>
    </w:p>
    <w:p w14:paraId="09BD864B">
      <w:pPr>
        <w:pStyle w:val="4"/>
        <w:bidi w:val="0"/>
        <w:rPr>
          <w:rFonts w:hint="eastAsia" w:ascii="宋体" w:hAnsi="宋体"/>
          <w:highlight w:val="none"/>
          <w:lang w:val="en-US" w:eastAsia="zh-CN"/>
        </w:rPr>
      </w:pPr>
      <w:bookmarkStart w:id="15" w:name="_Toc6156"/>
      <w:bookmarkStart w:id="16" w:name="_Toc18194"/>
      <w:bookmarkStart w:id="17" w:name="_Toc1475"/>
      <w:r>
        <w:rPr>
          <w:rFonts w:hint="eastAsia" w:ascii="宋体" w:hAnsi="宋体"/>
          <w:lang w:val="en-US" w:eastAsia="zh-CN"/>
        </w:rPr>
        <w:t>4.项目实施情况</w:t>
      </w:r>
      <w:bookmarkEnd w:id="15"/>
      <w:bookmarkEnd w:id="16"/>
      <w:bookmarkEnd w:id="17"/>
    </w:p>
    <w:p w14:paraId="11ED82A2">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both"/>
        <w:textAlignment w:val="baseline"/>
        <w:rPr>
          <w:rFonts w:hint="default" w:ascii="宋体" w:hAnsi="宋体" w:eastAsia="仿宋_GB2312" w:cs="仿宋_GB2312"/>
          <w:b w:val="0"/>
          <w:bCs/>
          <w:i w:val="0"/>
          <w:iCs w:val="0"/>
          <w:caps w:val="0"/>
          <w:snapToGrid w:val="0"/>
          <w:color w:val="333333"/>
          <w:spacing w:val="6"/>
          <w:kern w:val="0"/>
          <w:sz w:val="30"/>
          <w:szCs w:val="30"/>
          <w:highlight w:val="yellow"/>
          <w:shd w:val="clear" w:fill="FFFFFF"/>
          <w:lang w:val="en-US" w:eastAsia="zh-CN" w:bidi="ar"/>
        </w:rPr>
      </w:pPr>
      <w:r>
        <w:rPr>
          <w:rFonts w:hint="eastAsia" w:ascii="宋体" w:hAnsi="宋体" w:cs="仿宋_GB2312"/>
          <w:b w:val="0"/>
          <w:bCs/>
          <w:i w:val="0"/>
          <w:iCs w:val="0"/>
          <w:caps w:val="0"/>
          <w:snapToGrid w:val="0"/>
          <w:color w:val="333333"/>
          <w:spacing w:val="6"/>
          <w:kern w:val="0"/>
          <w:sz w:val="30"/>
          <w:szCs w:val="30"/>
          <w:highlight w:val="none"/>
          <w:shd w:val="clear" w:fill="FFFFFF"/>
          <w:lang w:val="en-US" w:eastAsia="zh-CN" w:bidi="ar"/>
        </w:rPr>
        <w:t>依据《关于调整长春市宽城区医院异地建设项目可行性研究报告的批复》（长宽发改字【2022】91号），本项目建设周期：项目实施进度计划为36个月，从2022年9月-2025年8月。</w:t>
      </w:r>
      <w:r>
        <w:rPr>
          <w:rFonts w:hint="eastAsia" w:ascii="宋体" w:hAnsi="宋体" w:eastAsia="仿宋_GB2312" w:cs="仿宋_GB2312"/>
          <w:b w:val="0"/>
          <w:bCs/>
          <w:i w:val="0"/>
          <w:iCs w:val="0"/>
          <w:caps w:val="0"/>
          <w:snapToGrid w:val="0"/>
          <w:color w:val="333333"/>
          <w:spacing w:val="6"/>
          <w:kern w:val="0"/>
          <w:sz w:val="30"/>
          <w:szCs w:val="30"/>
          <w:highlight w:val="none"/>
          <w:shd w:val="clear" w:fill="FFFFFF"/>
          <w:lang w:val="en-US" w:eastAsia="zh-CN" w:bidi="ar"/>
        </w:rPr>
        <w:t>依据</w:t>
      </w:r>
      <w:r>
        <w:rPr>
          <w:rFonts w:hint="eastAsia" w:ascii="宋体" w:hAnsi="宋体" w:cs="仿宋_GB2312"/>
          <w:b w:val="0"/>
          <w:bCs/>
          <w:i w:val="0"/>
          <w:iCs w:val="0"/>
          <w:caps w:val="0"/>
          <w:snapToGrid w:val="0"/>
          <w:color w:val="333333"/>
          <w:spacing w:val="6"/>
          <w:kern w:val="0"/>
          <w:sz w:val="30"/>
          <w:szCs w:val="30"/>
          <w:highlight w:val="none"/>
          <w:shd w:val="clear" w:fill="FFFFFF"/>
          <w:lang w:val="en-US" w:eastAsia="zh-CN" w:bidi="ar"/>
        </w:rPr>
        <w:t>项目开工报告</w:t>
      </w:r>
      <w:r>
        <w:rPr>
          <w:rFonts w:hint="eastAsia" w:ascii="宋体" w:hAnsi="宋体" w:eastAsia="仿宋_GB2312" w:cs="仿宋_GB2312"/>
          <w:b w:val="0"/>
          <w:bCs/>
          <w:i w:val="0"/>
          <w:iCs w:val="0"/>
          <w:caps w:val="0"/>
          <w:snapToGrid w:val="0"/>
          <w:color w:val="333333"/>
          <w:spacing w:val="6"/>
          <w:kern w:val="0"/>
          <w:sz w:val="30"/>
          <w:szCs w:val="30"/>
          <w:highlight w:val="none"/>
          <w:shd w:val="clear" w:fill="FFFFFF"/>
          <w:lang w:val="en-US" w:eastAsia="zh-CN" w:bidi="ar"/>
        </w:rPr>
        <w:t>，</w:t>
      </w:r>
      <w:r>
        <w:rPr>
          <w:rFonts w:hint="eastAsia" w:ascii="宋体" w:hAnsi="宋体" w:cs="仿宋_GB2312"/>
          <w:b w:val="0"/>
          <w:bCs/>
          <w:i w:val="0"/>
          <w:iCs w:val="0"/>
          <w:caps w:val="0"/>
          <w:snapToGrid w:val="0"/>
          <w:color w:val="333333"/>
          <w:spacing w:val="6"/>
          <w:kern w:val="0"/>
          <w:sz w:val="30"/>
          <w:szCs w:val="30"/>
          <w:highlight w:val="none"/>
          <w:shd w:val="clear" w:fill="FFFFFF"/>
          <w:lang w:val="en-US" w:eastAsia="zh-CN" w:bidi="ar"/>
        </w:rPr>
        <w:t>项目于2023年4月7日开工。依据区医院提供的情况说明本项目截止 2024 年末，本项目已完成主体工程、室内装饰安装工程、消防工程、通风空调、智能化弱电工程、医疗专项工程、地下室机械车位安装、换热站工程（包括红线内外）、电力工程（包括红线内外）等进入收尾阶段。室外工程已完成约50%，室外围墙、室外道路绿化工程、污水处理设备安装、标识牌安装工作预计 2025 年6月末全部完成</w:t>
      </w:r>
      <w:r>
        <w:rPr>
          <w:rFonts w:hint="eastAsia" w:ascii="宋体" w:hAnsi="宋体" w:eastAsia="仿宋_GB2312" w:cs="仿宋_GB2312"/>
          <w:b w:val="0"/>
          <w:bCs/>
          <w:i w:val="0"/>
          <w:iCs w:val="0"/>
          <w:caps w:val="0"/>
          <w:snapToGrid w:val="0"/>
          <w:color w:val="333333"/>
          <w:spacing w:val="6"/>
          <w:kern w:val="0"/>
          <w:sz w:val="30"/>
          <w:szCs w:val="30"/>
          <w:highlight w:val="none"/>
          <w:shd w:val="clear" w:fill="FFFFFF"/>
          <w:lang w:val="en-US" w:eastAsia="zh-CN" w:bidi="ar"/>
        </w:rPr>
        <w:t>。</w:t>
      </w:r>
    </w:p>
    <w:p w14:paraId="0E74CB92">
      <w:pPr>
        <w:pStyle w:val="4"/>
        <w:bidi w:val="0"/>
        <w:rPr>
          <w:rFonts w:hint="eastAsia" w:ascii="宋体" w:hAnsi="宋体"/>
          <w:lang w:val="en-US" w:eastAsia="zh-CN"/>
        </w:rPr>
      </w:pPr>
      <w:bookmarkStart w:id="18" w:name="_Toc20185"/>
      <w:bookmarkStart w:id="19" w:name="_Toc15857"/>
      <w:bookmarkStart w:id="20" w:name="_Toc1009"/>
      <w:r>
        <w:rPr>
          <w:rFonts w:hint="eastAsia" w:ascii="宋体" w:hAnsi="宋体"/>
          <w:lang w:val="en-US" w:eastAsia="zh-CN"/>
        </w:rPr>
        <w:t>5.资金筹措及到位情况</w:t>
      </w:r>
      <w:bookmarkEnd w:id="18"/>
      <w:bookmarkEnd w:id="19"/>
      <w:bookmarkEnd w:id="20"/>
    </w:p>
    <w:p w14:paraId="5BC24F21">
      <w:pPr>
        <w:pStyle w:val="5"/>
        <w:bidi w:val="0"/>
        <w:rPr>
          <w:rFonts w:hint="eastAsia" w:ascii="宋体" w:hAnsi="宋体"/>
          <w:lang w:val="en-US" w:eastAsia="zh-CN"/>
        </w:rPr>
      </w:pPr>
      <w:r>
        <w:rPr>
          <w:rFonts w:hint="eastAsia" w:ascii="宋体" w:hAnsi="宋体"/>
          <w:lang w:val="en-US" w:eastAsia="zh-CN"/>
        </w:rPr>
        <w:t>（1）项目资金总额及组成</w:t>
      </w:r>
    </w:p>
    <w:p w14:paraId="5CF80DB9">
      <w:pPr>
        <w:keepNext w:val="0"/>
        <w:keepLines w:val="0"/>
        <w:pageBreakBefore w:val="0"/>
        <w:widowControl w:val="0"/>
        <w:wordWrap/>
        <w:overflowPunct/>
        <w:topLinePunct w:val="0"/>
        <w:bidi w:val="0"/>
        <w:spacing w:line="360" w:lineRule="auto"/>
        <w:ind w:left="0" w:right="0" w:firstLine="624" w:firstLineChars="200"/>
        <w:jc w:val="both"/>
        <w:textAlignment w:val="baseline"/>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pP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依据</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长春市宽城区发展和改革局签发的《关于调整长春市宽城区医院异地建设项目初步设计的通知》（长宽发改字【2023】93号）</w:t>
      </w: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本</w:t>
      </w: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项目总投资为</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55,169.10</w:t>
      </w: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万元，其中拟利用地方财政预算资金14,369.10万</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元</w:t>
      </w: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，占比26.05%，发行</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地方政府</w:t>
      </w: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专项债券</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40,800</w:t>
      </w: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万元，占比73.</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95</w:t>
      </w: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截至2024年末已发行专项债券33,158.03万元，其中：</w:t>
      </w: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2022年发行</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16</w:t>
      </w: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2</w:t>
      </w: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00.00万元</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，2023年发行7,958.03万元，2024年发行9,000.00万元</w:t>
      </w: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w:t>
      </w:r>
    </w:p>
    <w:p w14:paraId="63F5D5D5">
      <w:pPr>
        <w:pStyle w:val="5"/>
        <w:bidi w:val="0"/>
        <w:rPr>
          <w:rFonts w:hint="eastAsia" w:ascii="宋体" w:hAnsi="宋体"/>
          <w:lang w:val="en-US" w:eastAsia="zh-CN"/>
        </w:rPr>
      </w:pPr>
      <w:r>
        <w:rPr>
          <w:rFonts w:hint="eastAsia" w:ascii="宋体" w:hAnsi="宋体"/>
          <w:lang w:val="en-US" w:eastAsia="zh-CN"/>
        </w:rPr>
        <w:t>（2）资金投入</w:t>
      </w:r>
    </w:p>
    <w:p w14:paraId="3BD2169E">
      <w:pPr>
        <w:keepNext w:val="0"/>
        <w:keepLines w:val="0"/>
        <w:pageBreakBefore w:val="0"/>
        <w:widowControl w:val="0"/>
        <w:wordWrap/>
        <w:overflowPunct/>
        <w:topLinePunct w:val="0"/>
        <w:bidi w:val="0"/>
        <w:spacing w:line="360" w:lineRule="auto"/>
        <w:ind w:left="0" w:right="0" w:firstLine="624" w:firstLineChars="200"/>
        <w:jc w:val="left"/>
        <w:textAlignment w:val="baseline"/>
        <w:rPr>
          <w:rFonts w:hint="eastAsia" w:ascii="宋体" w:hAnsi="宋体" w:eastAsia="仿宋_GB2312" w:cs="仿宋_GB2312"/>
          <w:i w:val="0"/>
          <w:iCs w:val="0"/>
          <w:caps w:val="0"/>
          <w:snapToGrid w:val="0"/>
          <w:color w:val="333333"/>
          <w:spacing w:val="6"/>
          <w:kern w:val="0"/>
          <w:sz w:val="30"/>
          <w:szCs w:val="30"/>
          <w:highlight w:val="yellow"/>
          <w:shd w:val="clear" w:fill="FFFFFF"/>
          <w:lang w:val="en-US" w:eastAsia="zh-CN" w:bidi="ar"/>
        </w:rPr>
      </w:pP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截至2024年末，本项目资金到位共计34,646.70万元，其中：财政预算资金1,488.67万元，专项债券资本金33,158.03万元。专项债券资金到位</w:t>
      </w: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情况如</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下表</w:t>
      </w: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w:t>
      </w:r>
    </w:p>
    <w:tbl>
      <w:tblPr>
        <w:tblStyle w:val="12"/>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7"/>
        <w:gridCol w:w="1451"/>
        <w:gridCol w:w="2913"/>
        <w:gridCol w:w="2187"/>
        <w:gridCol w:w="1208"/>
      </w:tblGrid>
      <w:tr w14:paraId="3061B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blHeader/>
        </w:trPr>
        <w:tc>
          <w:tcPr>
            <w:tcW w:w="7218" w:type="dxa"/>
            <w:gridSpan w:val="4"/>
            <w:tcBorders>
              <w:top w:val="nil"/>
              <w:left w:val="nil"/>
              <w:bottom w:val="nil"/>
              <w:right w:val="nil"/>
            </w:tcBorders>
            <w:shd w:val="clear" w:color="auto" w:fill="auto"/>
            <w:vAlign w:val="center"/>
          </w:tcPr>
          <w:p w14:paraId="7A07BDB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i w:val="0"/>
                <w:iCs w:val="0"/>
                <w:color w:val="000000"/>
                <w:sz w:val="20"/>
                <w:szCs w:val="20"/>
                <w:u w:val="none"/>
              </w:rPr>
            </w:pPr>
            <w:r>
              <w:rPr>
                <w:rFonts w:hint="eastAsia" w:ascii="Arial Narrow" w:hAnsi="Arial Narrow" w:eastAsia="宋体" w:cs="Arial Narrow"/>
                <w:i w:val="0"/>
                <w:iCs w:val="0"/>
                <w:snapToGrid w:val="0"/>
                <w:color w:val="000000"/>
                <w:kern w:val="0"/>
                <w:sz w:val="20"/>
                <w:szCs w:val="20"/>
                <w:u w:val="none"/>
                <w:lang w:val="en-US" w:eastAsia="zh-CN" w:bidi="ar"/>
              </w:rPr>
              <w:t xml:space="preserve">                   </w:t>
            </w:r>
            <w:r>
              <w:rPr>
                <w:rFonts w:hint="default" w:ascii="Arial Narrow" w:hAnsi="Arial Narrow" w:eastAsia="宋体" w:cs="Arial Narrow"/>
                <w:i w:val="0"/>
                <w:iCs w:val="0"/>
                <w:snapToGrid w:val="0"/>
                <w:color w:val="000000"/>
                <w:kern w:val="0"/>
                <w:sz w:val="20"/>
                <w:szCs w:val="20"/>
                <w:u w:val="none"/>
                <w:lang w:val="en-US" w:eastAsia="zh-CN" w:bidi="ar"/>
              </w:rPr>
              <w:t>表1－</w:t>
            </w:r>
            <w:r>
              <w:rPr>
                <w:rFonts w:hint="eastAsia" w:ascii="Arial Narrow" w:hAnsi="Arial Narrow" w:eastAsia="宋体" w:cs="Arial Narrow"/>
                <w:i w:val="0"/>
                <w:iCs w:val="0"/>
                <w:snapToGrid w:val="0"/>
                <w:color w:val="000000"/>
                <w:kern w:val="0"/>
                <w:sz w:val="20"/>
                <w:szCs w:val="20"/>
                <w:u w:val="none"/>
                <w:lang w:val="en-US" w:eastAsia="zh-CN" w:bidi="ar"/>
              </w:rPr>
              <w:t>专项</w:t>
            </w:r>
            <w:r>
              <w:rPr>
                <w:rFonts w:hint="default" w:ascii="Arial Narrow" w:hAnsi="Arial Narrow" w:eastAsia="宋体" w:cs="Arial Narrow"/>
                <w:i w:val="0"/>
                <w:iCs w:val="0"/>
                <w:snapToGrid w:val="0"/>
                <w:color w:val="000000"/>
                <w:kern w:val="0"/>
                <w:sz w:val="20"/>
                <w:szCs w:val="20"/>
                <w:u w:val="none"/>
                <w:lang w:val="en-US" w:eastAsia="zh-CN" w:bidi="ar"/>
              </w:rPr>
              <w:t>债券资金拨付情况表</w:t>
            </w:r>
          </w:p>
        </w:tc>
        <w:tc>
          <w:tcPr>
            <w:tcW w:w="1208" w:type="dxa"/>
            <w:tcBorders>
              <w:top w:val="nil"/>
              <w:left w:val="nil"/>
              <w:bottom w:val="nil"/>
              <w:right w:val="nil"/>
            </w:tcBorders>
            <w:shd w:val="clear" w:color="auto" w:fill="auto"/>
            <w:vAlign w:val="center"/>
          </w:tcPr>
          <w:p w14:paraId="4B0190A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right"/>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单位：万元</w:t>
            </w:r>
          </w:p>
        </w:tc>
      </w:tr>
      <w:tr w14:paraId="21872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blHeader/>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F201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left="0" w:leftChars="0" w:firstLine="0" w:firstLineChars="0"/>
              <w:jc w:val="both"/>
              <w:textAlignment w:val="center"/>
              <w:rPr>
                <w:rFonts w:hint="default" w:ascii="Arial Narrow" w:hAnsi="Arial Narrow" w:eastAsia="宋体" w:cs="Arial Narrow"/>
                <w:b/>
                <w:bCs/>
                <w:i w:val="0"/>
                <w:iCs w:val="0"/>
                <w:color w:val="000000"/>
                <w:sz w:val="18"/>
                <w:szCs w:val="18"/>
                <w:u w:val="none"/>
              </w:rPr>
            </w:pPr>
            <w:r>
              <w:rPr>
                <w:rFonts w:hint="default" w:ascii="Arial Narrow" w:hAnsi="Arial Narrow" w:eastAsia="宋体" w:cs="Arial Narrow"/>
                <w:b/>
                <w:bCs/>
                <w:i w:val="0"/>
                <w:iCs w:val="0"/>
                <w:snapToGrid w:val="0"/>
                <w:color w:val="000000"/>
                <w:kern w:val="0"/>
                <w:sz w:val="18"/>
                <w:szCs w:val="18"/>
                <w:u w:val="none"/>
                <w:lang w:val="en-US" w:eastAsia="zh-CN" w:bidi="ar"/>
              </w:rPr>
              <w:t>序号</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2417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b/>
                <w:bCs/>
                <w:i w:val="0"/>
                <w:iCs w:val="0"/>
                <w:color w:val="000000"/>
                <w:sz w:val="18"/>
                <w:szCs w:val="18"/>
                <w:u w:val="none"/>
              </w:rPr>
            </w:pPr>
            <w:r>
              <w:rPr>
                <w:rFonts w:hint="default" w:ascii="Arial Narrow" w:hAnsi="Arial Narrow" w:eastAsia="宋体" w:cs="Arial Narrow"/>
                <w:b/>
                <w:bCs/>
                <w:i w:val="0"/>
                <w:iCs w:val="0"/>
                <w:snapToGrid w:val="0"/>
                <w:color w:val="000000"/>
                <w:kern w:val="0"/>
                <w:sz w:val="18"/>
                <w:szCs w:val="18"/>
                <w:u w:val="none"/>
                <w:lang w:val="en-US" w:eastAsia="zh-CN" w:bidi="ar"/>
              </w:rPr>
              <w:t>资金拨付时间</w:t>
            </w:r>
          </w:p>
        </w:tc>
        <w:tc>
          <w:tcPr>
            <w:tcW w:w="2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20B7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b/>
                <w:bCs/>
                <w:i w:val="0"/>
                <w:iCs w:val="0"/>
                <w:color w:val="000000"/>
                <w:sz w:val="18"/>
                <w:szCs w:val="18"/>
                <w:u w:val="none"/>
              </w:rPr>
            </w:pPr>
            <w:r>
              <w:rPr>
                <w:rFonts w:hint="default" w:ascii="Arial Narrow" w:hAnsi="Arial Narrow" w:eastAsia="宋体" w:cs="Arial Narrow"/>
                <w:b/>
                <w:bCs/>
                <w:i w:val="0"/>
                <w:iCs w:val="0"/>
                <w:snapToGrid w:val="0"/>
                <w:color w:val="000000"/>
                <w:kern w:val="0"/>
                <w:sz w:val="18"/>
                <w:szCs w:val="18"/>
                <w:u w:val="none"/>
                <w:lang w:val="en-US" w:eastAsia="zh-CN" w:bidi="ar"/>
              </w:rPr>
              <w:t>拨付指标文件</w:t>
            </w:r>
          </w:p>
        </w:tc>
        <w:tc>
          <w:tcPr>
            <w:tcW w:w="2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190A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b/>
                <w:bCs/>
                <w:i w:val="0"/>
                <w:iCs w:val="0"/>
                <w:color w:val="000000"/>
                <w:sz w:val="18"/>
                <w:szCs w:val="18"/>
                <w:u w:val="none"/>
              </w:rPr>
            </w:pPr>
            <w:r>
              <w:rPr>
                <w:rFonts w:hint="default" w:ascii="Arial Narrow" w:hAnsi="Arial Narrow" w:eastAsia="宋体" w:cs="Arial Narrow"/>
                <w:b/>
                <w:bCs/>
                <w:i w:val="0"/>
                <w:iCs w:val="0"/>
                <w:snapToGrid w:val="0"/>
                <w:color w:val="000000"/>
                <w:kern w:val="0"/>
                <w:sz w:val="18"/>
                <w:szCs w:val="18"/>
                <w:u w:val="none"/>
                <w:lang w:val="en-US" w:eastAsia="zh-CN" w:bidi="ar"/>
              </w:rPr>
              <w:t>指标文号</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5F53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b/>
                <w:bCs/>
                <w:i w:val="0"/>
                <w:iCs w:val="0"/>
                <w:color w:val="000000"/>
                <w:sz w:val="18"/>
                <w:szCs w:val="18"/>
                <w:u w:val="none"/>
              </w:rPr>
            </w:pPr>
            <w:r>
              <w:rPr>
                <w:rFonts w:hint="default" w:ascii="Arial Narrow" w:hAnsi="Arial Narrow" w:eastAsia="宋体" w:cs="Arial Narrow"/>
                <w:b/>
                <w:bCs/>
                <w:i w:val="0"/>
                <w:iCs w:val="0"/>
                <w:snapToGrid w:val="0"/>
                <w:color w:val="000000"/>
                <w:kern w:val="0"/>
                <w:sz w:val="18"/>
                <w:szCs w:val="18"/>
                <w:u w:val="none"/>
                <w:lang w:val="en-US" w:eastAsia="zh-CN" w:bidi="ar"/>
              </w:rPr>
              <w:t>金额</w:t>
            </w:r>
          </w:p>
        </w:tc>
      </w:tr>
      <w:tr w14:paraId="159E9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2928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F826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2022.3.7</w:t>
            </w:r>
          </w:p>
        </w:tc>
        <w:tc>
          <w:tcPr>
            <w:tcW w:w="2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E14C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both"/>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《长春市宽城区财政局关于拨付2022年第1批新增地方政府专项债券资金的通知》</w:t>
            </w:r>
          </w:p>
        </w:tc>
        <w:tc>
          <w:tcPr>
            <w:tcW w:w="2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3EF7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both"/>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宽财债指【2022】1号</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5A06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right"/>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3,000.00</w:t>
            </w:r>
          </w:p>
        </w:tc>
      </w:tr>
      <w:tr w14:paraId="1093F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8A2D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33D8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2022.7.4</w:t>
            </w:r>
          </w:p>
        </w:tc>
        <w:tc>
          <w:tcPr>
            <w:tcW w:w="2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2D3F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both"/>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《长春市宽城区财政局关于拨付2022年第4批新增地方政府专项债券资金的通知》</w:t>
            </w:r>
          </w:p>
        </w:tc>
        <w:tc>
          <w:tcPr>
            <w:tcW w:w="2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3F99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both"/>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宽财债指【2022】7号</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69A6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right"/>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8,900.00</w:t>
            </w:r>
          </w:p>
        </w:tc>
      </w:tr>
      <w:tr w14:paraId="12A63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26A1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99D7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2022.7.15</w:t>
            </w:r>
          </w:p>
        </w:tc>
        <w:tc>
          <w:tcPr>
            <w:tcW w:w="2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5961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both"/>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《长春市宽城区财政局关于拨付2022年第5批新增地方政府专项债券资金的通知》</w:t>
            </w:r>
          </w:p>
        </w:tc>
        <w:tc>
          <w:tcPr>
            <w:tcW w:w="2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A46B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both"/>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宽财债指【2022】15号</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B466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right"/>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4,300.00</w:t>
            </w:r>
          </w:p>
        </w:tc>
      </w:tr>
      <w:tr w14:paraId="17C0A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F32F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9AF2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202</w:t>
            </w:r>
            <w:r>
              <w:rPr>
                <w:rFonts w:hint="eastAsia" w:ascii="Arial Narrow" w:hAnsi="Arial Narrow" w:eastAsia="宋体" w:cs="Arial Narrow"/>
                <w:i w:val="0"/>
                <w:iCs w:val="0"/>
                <w:snapToGrid w:val="0"/>
                <w:color w:val="000000"/>
                <w:kern w:val="0"/>
                <w:sz w:val="18"/>
                <w:szCs w:val="18"/>
                <w:u w:val="none"/>
                <w:lang w:val="en-US" w:eastAsia="zh-CN" w:bidi="ar"/>
              </w:rPr>
              <w:t>3</w:t>
            </w:r>
            <w:r>
              <w:rPr>
                <w:rFonts w:hint="default" w:ascii="Arial Narrow" w:hAnsi="Arial Narrow" w:eastAsia="宋体" w:cs="Arial Narrow"/>
                <w:i w:val="0"/>
                <w:iCs w:val="0"/>
                <w:snapToGrid w:val="0"/>
                <w:color w:val="000000"/>
                <w:kern w:val="0"/>
                <w:sz w:val="18"/>
                <w:szCs w:val="18"/>
                <w:u w:val="none"/>
                <w:lang w:val="en-US" w:eastAsia="zh-CN" w:bidi="ar"/>
              </w:rPr>
              <w:t>.7.18</w:t>
            </w:r>
          </w:p>
        </w:tc>
        <w:tc>
          <w:tcPr>
            <w:tcW w:w="2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CF94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both"/>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《关于拨付2021年吉林省政府专项债券（二十二期）结余专项债券资金的通知》</w:t>
            </w:r>
          </w:p>
        </w:tc>
        <w:tc>
          <w:tcPr>
            <w:tcW w:w="2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311B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both"/>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宽财债指【2023】4号</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76B6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right"/>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2,058.03</w:t>
            </w:r>
          </w:p>
        </w:tc>
      </w:tr>
      <w:tr w14:paraId="1529C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3484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49D0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2023.8.15</w:t>
            </w:r>
          </w:p>
        </w:tc>
        <w:tc>
          <w:tcPr>
            <w:tcW w:w="2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FF16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both"/>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《长春市宽城区财政局关于拨付2023年第4批新增地方政府专项债券资金的通知》</w:t>
            </w:r>
          </w:p>
        </w:tc>
        <w:tc>
          <w:tcPr>
            <w:tcW w:w="2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58DD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both"/>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宽财债指【2023】11号</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8061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right"/>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1,600.00</w:t>
            </w:r>
          </w:p>
        </w:tc>
      </w:tr>
      <w:tr w14:paraId="77B70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6C23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C211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2023.9.25</w:t>
            </w:r>
          </w:p>
        </w:tc>
        <w:tc>
          <w:tcPr>
            <w:tcW w:w="2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6870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both"/>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《长春市宽城区财政局关于拨付2023年第5批新增地方政府专项债券资金的通知》</w:t>
            </w:r>
          </w:p>
        </w:tc>
        <w:tc>
          <w:tcPr>
            <w:tcW w:w="2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356A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both"/>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宽财债指【2023】19号</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E58E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right"/>
              <w:textAlignment w:val="center"/>
              <w:rPr>
                <w:rFonts w:hint="default" w:ascii="Arial Narrow" w:hAnsi="Arial Narrow" w:eastAsia="宋体" w:cs="Arial Narrow"/>
                <w:i w:val="0"/>
                <w:iCs w:val="0"/>
                <w:color w:val="000000"/>
                <w:sz w:val="18"/>
                <w:szCs w:val="18"/>
                <w:u w:val="none"/>
              </w:rPr>
            </w:pPr>
            <w:r>
              <w:rPr>
                <w:rFonts w:hint="default" w:ascii="Arial Narrow" w:hAnsi="Arial Narrow" w:eastAsia="宋体" w:cs="Arial Narrow"/>
                <w:i w:val="0"/>
                <w:iCs w:val="0"/>
                <w:snapToGrid w:val="0"/>
                <w:color w:val="000000"/>
                <w:kern w:val="0"/>
                <w:sz w:val="18"/>
                <w:szCs w:val="18"/>
                <w:u w:val="none"/>
                <w:lang w:val="en-US" w:eastAsia="zh-CN" w:bidi="ar"/>
              </w:rPr>
              <w:t>4,300.00</w:t>
            </w:r>
          </w:p>
        </w:tc>
      </w:tr>
      <w:tr w14:paraId="26383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4B10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i w:val="0"/>
                <w:iCs w:val="0"/>
                <w:snapToGrid w:val="0"/>
                <w:color w:val="000000"/>
                <w:kern w:val="0"/>
                <w:sz w:val="18"/>
                <w:szCs w:val="18"/>
                <w:u w:val="none"/>
                <w:lang w:val="en-US" w:eastAsia="zh-CN" w:bidi="ar"/>
              </w:rPr>
            </w:pPr>
            <w:r>
              <w:rPr>
                <w:rFonts w:hint="eastAsia" w:ascii="Arial Narrow" w:hAnsi="Arial Narrow" w:eastAsia="宋体" w:cs="Arial Narrow"/>
                <w:i w:val="0"/>
                <w:iCs w:val="0"/>
                <w:snapToGrid w:val="0"/>
                <w:color w:val="000000"/>
                <w:kern w:val="0"/>
                <w:sz w:val="18"/>
                <w:szCs w:val="18"/>
                <w:u w:val="none"/>
                <w:lang w:val="en-US" w:eastAsia="zh-CN" w:bidi="ar"/>
              </w:rPr>
              <w:t>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0A46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i w:val="0"/>
                <w:iCs w:val="0"/>
                <w:snapToGrid w:val="0"/>
                <w:color w:val="000000"/>
                <w:kern w:val="0"/>
                <w:sz w:val="18"/>
                <w:szCs w:val="18"/>
                <w:u w:val="none"/>
                <w:lang w:val="en-US" w:eastAsia="zh-CN" w:bidi="ar"/>
              </w:rPr>
            </w:pPr>
            <w:r>
              <w:rPr>
                <w:rFonts w:hint="eastAsia" w:ascii="Arial Narrow" w:hAnsi="Arial Narrow" w:eastAsia="宋体" w:cs="Arial Narrow"/>
                <w:i w:val="0"/>
                <w:iCs w:val="0"/>
                <w:snapToGrid w:val="0"/>
                <w:color w:val="000000"/>
                <w:kern w:val="0"/>
                <w:sz w:val="18"/>
                <w:szCs w:val="18"/>
                <w:u w:val="none"/>
                <w:lang w:val="en-US" w:eastAsia="zh-CN" w:bidi="ar"/>
              </w:rPr>
              <w:t>2024.10.28</w:t>
            </w:r>
          </w:p>
        </w:tc>
        <w:tc>
          <w:tcPr>
            <w:tcW w:w="2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2F9C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both"/>
              <w:textAlignment w:val="center"/>
              <w:rPr>
                <w:rFonts w:hint="default" w:ascii="Arial Narrow" w:hAnsi="Arial Narrow" w:eastAsia="宋体" w:cs="Arial Narrow"/>
                <w:i w:val="0"/>
                <w:iCs w:val="0"/>
                <w:snapToGrid w:val="0"/>
                <w:color w:val="000000"/>
                <w:kern w:val="0"/>
                <w:sz w:val="18"/>
                <w:szCs w:val="18"/>
                <w:u w:val="none"/>
                <w:lang w:val="en-US" w:eastAsia="zh-CN" w:bidi="ar"/>
              </w:rPr>
            </w:pPr>
            <w:r>
              <w:rPr>
                <w:rFonts w:hint="default" w:ascii="Arial Narrow" w:hAnsi="Arial Narrow" w:eastAsia="宋体" w:cs="Arial Narrow"/>
                <w:i w:val="0"/>
                <w:iCs w:val="0"/>
                <w:snapToGrid w:val="0"/>
                <w:color w:val="000000"/>
                <w:kern w:val="0"/>
                <w:sz w:val="18"/>
                <w:szCs w:val="18"/>
                <w:u w:val="none"/>
                <w:lang w:val="en-US" w:eastAsia="zh-CN" w:bidi="ar"/>
              </w:rPr>
              <w:t>《长春市宽城区财政局关于拨付202</w:t>
            </w:r>
            <w:r>
              <w:rPr>
                <w:rFonts w:hint="eastAsia" w:ascii="Arial Narrow" w:hAnsi="Arial Narrow" w:eastAsia="宋体" w:cs="Arial Narrow"/>
                <w:i w:val="0"/>
                <w:iCs w:val="0"/>
                <w:snapToGrid w:val="0"/>
                <w:color w:val="000000"/>
                <w:kern w:val="0"/>
                <w:sz w:val="18"/>
                <w:szCs w:val="18"/>
                <w:u w:val="none"/>
                <w:lang w:val="en-US" w:eastAsia="zh-CN" w:bidi="ar"/>
              </w:rPr>
              <w:t>4</w:t>
            </w:r>
            <w:r>
              <w:rPr>
                <w:rFonts w:hint="default" w:ascii="Arial Narrow" w:hAnsi="Arial Narrow" w:eastAsia="宋体" w:cs="Arial Narrow"/>
                <w:i w:val="0"/>
                <w:iCs w:val="0"/>
                <w:snapToGrid w:val="0"/>
                <w:color w:val="000000"/>
                <w:kern w:val="0"/>
                <w:sz w:val="18"/>
                <w:szCs w:val="18"/>
                <w:u w:val="none"/>
                <w:lang w:val="en-US" w:eastAsia="zh-CN" w:bidi="ar"/>
              </w:rPr>
              <w:t>年第</w:t>
            </w:r>
            <w:r>
              <w:rPr>
                <w:rFonts w:hint="eastAsia" w:ascii="Arial Narrow" w:hAnsi="Arial Narrow" w:eastAsia="宋体" w:cs="Arial Narrow"/>
                <w:i w:val="0"/>
                <w:iCs w:val="0"/>
                <w:snapToGrid w:val="0"/>
                <w:color w:val="000000"/>
                <w:kern w:val="0"/>
                <w:sz w:val="18"/>
                <w:szCs w:val="18"/>
                <w:u w:val="none"/>
                <w:lang w:val="en-US" w:eastAsia="zh-CN" w:bidi="ar"/>
              </w:rPr>
              <w:t>10</w:t>
            </w:r>
            <w:r>
              <w:rPr>
                <w:rFonts w:hint="default" w:ascii="Arial Narrow" w:hAnsi="Arial Narrow" w:eastAsia="宋体" w:cs="Arial Narrow"/>
                <w:i w:val="0"/>
                <w:iCs w:val="0"/>
                <w:snapToGrid w:val="0"/>
                <w:color w:val="000000"/>
                <w:kern w:val="0"/>
                <w:sz w:val="18"/>
                <w:szCs w:val="18"/>
                <w:u w:val="none"/>
                <w:lang w:val="en-US" w:eastAsia="zh-CN" w:bidi="ar"/>
              </w:rPr>
              <w:t>批新增地方政府专项债券资金的通知》</w:t>
            </w:r>
          </w:p>
        </w:tc>
        <w:tc>
          <w:tcPr>
            <w:tcW w:w="2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50A7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both"/>
              <w:textAlignment w:val="center"/>
              <w:rPr>
                <w:rFonts w:hint="default" w:ascii="Arial Narrow" w:hAnsi="Arial Narrow" w:eastAsia="宋体" w:cs="Arial Narrow"/>
                <w:i w:val="0"/>
                <w:iCs w:val="0"/>
                <w:snapToGrid w:val="0"/>
                <w:color w:val="000000"/>
                <w:kern w:val="0"/>
                <w:sz w:val="18"/>
                <w:szCs w:val="18"/>
                <w:u w:val="none"/>
                <w:lang w:val="en-US" w:eastAsia="zh-CN" w:bidi="ar"/>
              </w:rPr>
            </w:pPr>
            <w:r>
              <w:rPr>
                <w:rFonts w:hint="default" w:ascii="Arial Narrow" w:hAnsi="Arial Narrow" w:eastAsia="宋体" w:cs="Arial Narrow"/>
                <w:i w:val="0"/>
                <w:iCs w:val="0"/>
                <w:snapToGrid w:val="0"/>
                <w:color w:val="000000"/>
                <w:kern w:val="0"/>
                <w:sz w:val="18"/>
                <w:szCs w:val="18"/>
                <w:u w:val="none"/>
                <w:lang w:val="en-US" w:eastAsia="zh-CN" w:bidi="ar"/>
              </w:rPr>
              <w:t>宽财债指【202</w:t>
            </w:r>
            <w:r>
              <w:rPr>
                <w:rFonts w:hint="eastAsia" w:ascii="Arial Narrow" w:hAnsi="Arial Narrow" w:eastAsia="宋体" w:cs="Arial Narrow"/>
                <w:i w:val="0"/>
                <w:iCs w:val="0"/>
                <w:snapToGrid w:val="0"/>
                <w:color w:val="000000"/>
                <w:kern w:val="0"/>
                <w:sz w:val="18"/>
                <w:szCs w:val="18"/>
                <w:u w:val="none"/>
                <w:lang w:val="en-US" w:eastAsia="zh-CN" w:bidi="ar"/>
              </w:rPr>
              <w:t>4</w:t>
            </w:r>
            <w:r>
              <w:rPr>
                <w:rFonts w:hint="default" w:ascii="Arial Narrow" w:hAnsi="Arial Narrow" w:eastAsia="宋体" w:cs="Arial Narrow"/>
                <w:i w:val="0"/>
                <w:iCs w:val="0"/>
                <w:snapToGrid w:val="0"/>
                <w:color w:val="000000"/>
                <w:kern w:val="0"/>
                <w:sz w:val="18"/>
                <w:szCs w:val="18"/>
                <w:u w:val="none"/>
                <w:lang w:val="en-US" w:eastAsia="zh-CN" w:bidi="ar"/>
              </w:rPr>
              <w:t>】</w:t>
            </w:r>
            <w:r>
              <w:rPr>
                <w:rFonts w:hint="eastAsia" w:ascii="Arial Narrow" w:hAnsi="Arial Narrow" w:eastAsia="宋体" w:cs="Arial Narrow"/>
                <w:i w:val="0"/>
                <w:iCs w:val="0"/>
                <w:snapToGrid w:val="0"/>
                <w:color w:val="000000"/>
                <w:kern w:val="0"/>
                <w:sz w:val="18"/>
                <w:szCs w:val="18"/>
                <w:u w:val="none"/>
                <w:lang w:val="en-US" w:eastAsia="zh-CN" w:bidi="ar"/>
              </w:rPr>
              <w:t>8</w:t>
            </w:r>
            <w:r>
              <w:rPr>
                <w:rFonts w:hint="default" w:ascii="Arial Narrow" w:hAnsi="Arial Narrow" w:eastAsia="宋体" w:cs="Arial Narrow"/>
                <w:i w:val="0"/>
                <w:iCs w:val="0"/>
                <w:snapToGrid w:val="0"/>
                <w:color w:val="000000"/>
                <w:kern w:val="0"/>
                <w:sz w:val="18"/>
                <w:szCs w:val="18"/>
                <w:u w:val="none"/>
                <w:lang w:val="en-US" w:eastAsia="zh-CN" w:bidi="ar"/>
              </w:rPr>
              <w:t>号</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F640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right"/>
              <w:textAlignment w:val="center"/>
              <w:rPr>
                <w:rFonts w:hint="default" w:ascii="Arial Narrow" w:hAnsi="Arial Narrow" w:eastAsia="宋体" w:cs="Arial Narrow"/>
                <w:i w:val="0"/>
                <w:iCs w:val="0"/>
                <w:snapToGrid w:val="0"/>
                <w:color w:val="000000"/>
                <w:kern w:val="0"/>
                <w:sz w:val="18"/>
                <w:szCs w:val="18"/>
                <w:u w:val="none"/>
                <w:lang w:val="en-US" w:eastAsia="zh-CN" w:bidi="ar"/>
              </w:rPr>
            </w:pPr>
            <w:r>
              <w:rPr>
                <w:rFonts w:hint="default" w:ascii="Arial Narrow" w:hAnsi="Arial Narrow" w:eastAsia="宋体" w:cs="Arial Narrow"/>
                <w:i w:val="0"/>
                <w:iCs w:val="0"/>
                <w:snapToGrid w:val="0"/>
                <w:color w:val="000000"/>
                <w:kern w:val="0"/>
                <w:sz w:val="18"/>
                <w:szCs w:val="18"/>
                <w:u w:val="none"/>
                <w:lang w:val="en-US" w:eastAsia="zh-CN" w:bidi="ar"/>
              </w:rPr>
              <w:t xml:space="preserve"> </w:t>
            </w:r>
            <w:r>
              <w:rPr>
                <w:rFonts w:hint="eastAsia" w:ascii="Arial Narrow" w:hAnsi="Arial Narrow" w:eastAsia="宋体" w:cs="Arial Narrow"/>
                <w:i w:val="0"/>
                <w:iCs w:val="0"/>
                <w:snapToGrid w:val="0"/>
                <w:color w:val="000000"/>
                <w:kern w:val="0"/>
                <w:sz w:val="18"/>
                <w:szCs w:val="18"/>
                <w:u w:val="none"/>
                <w:lang w:val="en-US" w:eastAsia="zh-CN" w:bidi="ar"/>
              </w:rPr>
              <w:t>9,000.00</w:t>
            </w:r>
            <w:r>
              <w:rPr>
                <w:rFonts w:hint="default" w:ascii="Arial Narrow" w:hAnsi="Arial Narrow" w:eastAsia="宋体" w:cs="Arial Narrow"/>
                <w:i w:val="0"/>
                <w:iCs w:val="0"/>
                <w:snapToGrid w:val="0"/>
                <w:color w:val="000000"/>
                <w:kern w:val="0"/>
                <w:sz w:val="18"/>
                <w:szCs w:val="18"/>
                <w:u w:val="none"/>
                <w:lang w:val="en-US" w:eastAsia="zh-CN" w:bidi="ar"/>
              </w:rPr>
              <w:t xml:space="preserve"> </w:t>
            </w:r>
          </w:p>
        </w:tc>
      </w:tr>
      <w:tr w14:paraId="453CD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2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4985A2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center"/>
              <w:textAlignment w:val="center"/>
              <w:rPr>
                <w:rFonts w:hint="default" w:ascii="Arial Narrow" w:hAnsi="Arial Narrow" w:eastAsia="宋体" w:cs="Arial Narrow"/>
                <w:b/>
                <w:bCs/>
                <w:i w:val="0"/>
                <w:iCs w:val="0"/>
                <w:color w:val="000000"/>
                <w:sz w:val="18"/>
                <w:szCs w:val="18"/>
                <w:u w:val="none"/>
              </w:rPr>
            </w:pPr>
            <w:r>
              <w:rPr>
                <w:rFonts w:hint="default" w:ascii="Arial Narrow" w:hAnsi="Arial Narrow" w:eastAsia="宋体" w:cs="Arial Narrow"/>
                <w:b/>
                <w:bCs/>
                <w:i w:val="0"/>
                <w:iCs w:val="0"/>
                <w:snapToGrid w:val="0"/>
                <w:color w:val="000000"/>
                <w:kern w:val="0"/>
                <w:sz w:val="18"/>
                <w:szCs w:val="18"/>
                <w:u w:val="none"/>
                <w:lang w:val="en-US" w:eastAsia="zh-CN" w:bidi="ar"/>
              </w:rPr>
              <w:t>合计</w:t>
            </w:r>
          </w:p>
        </w:tc>
        <w:tc>
          <w:tcPr>
            <w:tcW w:w="12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B782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exact"/>
              <w:ind w:firstLine="0" w:firstLineChars="0"/>
              <w:jc w:val="right"/>
              <w:textAlignment w:val="center"/>
              <w:rPr>
                <w:rFonts w:hint="default" w:ascii="Arial Narrow" w:hAnsi="Arial Narrow" w:eastAsia="宋体" w:cs="Arial Narrow"/>
                <w:b/>
                <w:bCs/>
                <w:i w:val="0"/>
                <w:iCs w:val="0"/>
                <w:color w:val="000000"/>
                <w:sz w:val="18"/>
                <w:szCs w:val="18"/>
                <w:u w:val="none"/>
              </w:rPr>
            </w:pPr>
            <w:r>
              <w:rPr>
                <w:rFonts w:hint="default" w:ascii="Arial Narrow" w:hAnsi="Arial Narrow" w:eastAsia="宋体" w:cs="Arial Narrow"/>
                <w:b/>
                <w:bCs/>
                <w:i w:val="0"/>
                <w:iCs w:val="0"/>
                <w:snapToGrid w:val="0"/>
                <w:color w:val="000000"/>
                <w:kern w:val="0"/>
                <w:sz w:val="18"/>
                <w:szCs w:val="18"/>
                <w:u w:val="none"/>
                <w:lang w:val="en-US" w:eastAsia="zh-CN" w:bidi="ar"/>
              </w:rPr>
              <w:t>33,158.03</w:t>
            </w:r>
          </w:p>
        </w:tc>
      </w:tr>
    </w:tbl>
    <w:p w14:paraId="3ADC4069">
      <w:pPr>
        <w:pStyle w:val="5"/>
        <w:keepNext/>
        <w:keepLines/>
        <w:pageBreakBefore w:val="0"/>
        <w:widowControl/>
        <w:kinsoku w:val="0"/>
        <w:wordWrap/>
        <w:overflowPunct/>
        <w:topLinePunct w:val="0"/>
        <w:autoSpaceDE w:val="0"/>
        <w:autoSpaceDN w:val="0"/>
        <w:bidi w:val="0"/>
        <w:adjustRightInd w:val="0"/>
        <w:snapToGrid w:val="0"/>
        <w:spacing w:before="0" w:beforeLines="100"/>
        <w:textAlignment w:val="baseline"/>
        <w:rPr>
          <w:rFonts w:hint="eastAsia" w:ascii="宋体" w:hAnsi="宋体"/>
        </w:rPr>
      </w:pPr>
      <w:r>
        <w:rPr>
          <w:rFonts w:hint="eastAsia" w:ascii="宋体" w:hAnsi="宋体"/>
          <w:lang w:eastAsia="zh-CN"/>
        </w:rPr>
        <w:t>（</w:t>
      </w:r>
      <w:r>
        <w:rPr>
          <w:rFonts w:hint="eastAsia" w:ascii="宋体" w:hAnsi="宋体"/>
          <w:lang w:val="en-US" w:eastAsia="zh-CN"/>
        </w:rPr>
        <w:t>3</w:t>
      </w:r>
      <w:r>
        <w:rPr>
          <w:rFonts w:hint="eastAsia" w:ascii="宋体" w:hAnsi="宋体"/>
          <w:lang w:eastAsia="zh-CN"/>
        </w:rPr>
        <w:t>）</w:t>
      </w:r>
      <w:r>
        <w:rPr>
          <w:rFonts w:hint="eastAsia" w:ascii="宋体" w:hAnsi="宋体"/>
        </w:rPr>
        <w:t>资金使用</w:t>
      </w:r>
    </w:p>
    <w:p w14:paraId="6B0CD88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68" w:firstLineChars="200"/>
        <w:jc w:val="left"/>
        <w:textAlignment w:val="baseline"/>
        <w:rPr>
          <w:rFonts w:hint="eastAsia" w:ascii="宋体" w:hAnsi="宋体" w:eastAsia="仿宋_GB2312" w:cs="仿宋_GB2312"/>
          <w:sz w:val="30"/>
          <w:szCs w:val="30"/>
          <w:lang w:eastAsia="zh-CN"/>
        </w:rPr>
      </w:pPr>
      <w:r>
        <w:rPr>
          <w:rFonts w:hint="eastAsia" w:ascii="宋体" w:hAnsi="宋体" w:eastAsia="仿宋_GB2312" w:cs="仿宋_GB2312"/>
          <w:spacing w:val="-8"/>
          <w:sz w:val="30"/>
          <w:szCs w:val="30"/>
          <w:highlight w:val="none"/>
          <w:lang w:val="en-US" w:eastAsia="zh-CN"/>
        </w:rPr>
        <w:t>截至202</w:t>
      </w:r>
      <w:r>
        <w:rPr>
          <w:rFonts w:hint="eastAsia" w:ascii="宋体" w:hAnsi="宋体" w:cs="仿宋_GB2312"/>
          <w:spacing w:val="-8"/>
          <w:sz w:val="30"/>
          <w:szCs w:val="30"/>
          <w:highlight w:val="none"/>
          <w:lang w:val="en-US" w:eastAsia="zh-CN"/>
        </w:rPr>
        <w:t>4</w:t>
      </w:r>
      <w:r>
        <w:rPr>
          <w:rFonts w:hint="eastAsia" w:ascii="宋体" w:hAnsi="宋体" w:eastAsia="仿宋_GB2312" w:cs="仿宋_GB2312"/>
          <w:spacing w:val="-8"/>
          <w:sz w:val="30"/>
          <w:szCs w:val="30"/>
          <w:highlight w:val="none"/>
          <w:lang w:val="en-US" w:eastAsia="zh-CN"/>
        </w:rPr>
        <w:t>年</w:t>
      </w:r>
      <w:r>
        <w:rPr>
          <w:rFonts w:hint="eastAsia" w:ascii="宋体" w:hAnsi="宋体" w:cs="仿宋_GB2312"/>
          <w:spacing w:val="-8"/>
          <w:sz w:val="30"/>
          <w:szCs w:val="30"/>
          <w:highlight w:val="none"/>
          <w:lang w:val="en-US" w:eastAsia="zh-CN"/>
        </w:rPr>
        <w:t>末</w:t>
      </w:r>
      <w:r>
        <w:rPr>
          <w:rFonts w:hint="eastAsia" w:ascii="宋体" w:hAnsi="宋体" w:eastAsia="仿宋_GB2312" w:cs="仿宋_GB2312"/>
          <w:spacing w:val="-8"/>
          <w:sz w:val="30"/>
          <w:szCs w:val="30"/>
          <w:highlight w:val="none"/>
          <w:lang w:val="en-US" w:eastAsia="zh-CN"/>
        </w:rPr>
        <w:t>，项目资本金支出</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34,646.70</w:t>
      </w:r>
      <w:r>
        <w:rPr>
          <w:rFonts w:hint="eastAsia" w:ascii="宋体" w:hAnsi="宋体" w:eastAsia="仿宋_GB2312" w:cs="仿宋_GB2312"/>
          <w:spacing w:val="-8"/>
          <w:sz w:val="30"/>
          <w:szCs w:val="30"/>
          <w:highlight w:val="none"/>
          <w:lang w:val="en-US" w:eastAsia="zh-CN"/>
        </w:rPr>
        <w:t>万元，其中财政预算资金</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1,488.67</w:t>
      </w:r>
      <w:r>
        <w:rPr>
          <w:rFonts w:hint="eastAsia" w:ascii="宋体" w:hAnsi="宋体" w:eastAsia="仿宋_GB2312" w:cs="仿宋_GB2312"/>
          <w:spacing w:val="-8"/>
          <w:sz w:val="30"/>
          <w:szCs w:val="30"/>
          <w:highlight w:val="none"/>
          <w:lang w:val="en-US" w:eastAsia="zh-CN"/>
        </w:rPr>
        <w:t>万元，专项债券资金</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33,158.03</w:t>
      </w:r>
      <w:r>
        <w:rPr>
          <w:rFonts w:hint="eastAsia" w:ascii="宋体" w:hAnsi="宋体" w:eastAsia="仿宋_GB2312" w:cs="仿宋_GB2312"/>
          <w:spacing w:val="-8"/>
          <w:sz w:val="30"/>
          <w:szCs w:val="30"/>
          <w:highlight w:val="none"/>
          <w:lang w:val="en-US" w:eastAsia="zh-CN"/>
        </w:rPr>
        <w:t>万元，资金使用率为</w:t>
      </w:r>
      <w:r>
        <w:rPr>
          <w:rFonts w:hint="eastAsia" w:ascii="宋体" w:hAnsi="宋体" w:cs="仿宋_GB2312"/>
          <w:spacing w:val="-8"/>
          <w:sz w:val="30"/>
          <w:szCs w:val="30"/>
          <w:highlight w:val="none"/>
          <w:lang w:val="en-US" w:eastAsia="zh-CN"/>
        </w:rPr>
        <w:t>100</w:t>
      </w:r>
      <w:r>
        <w:rPr>
          <w:rFonts w:hint="eastAsia" w:ascii="宋体" w:hAnsi="宋体" w:eastAsia="仿宋_GB2312" w:cs="仿宋_GB2312"/>
          <w:spacing w:val="-8"/>
          <w:sz w:val="30"/>
          <w:szCs w:val="30"/>
          <w:highlight w:val="none"/>
          <w:lang w:val="en-US" w:eastAsia="zh-CN"/>
        </w:rPr>
        <w:t>%</w:t>
      </w:r>
      <w:r>
        <w:rPr>
          <w:rFonts w:hint="eastAsia" w:ascii="宋体" w:hAnsi="宋体" w:cs="仿宋_GB2312"/>
          <w:spacing w:val="-8"/>
          <w:sz w:val="30"/>
          <w:szCs w:val="30"/>
          <w:highlight w:val="none"/>
          <w:lang w:val="en-US" w:eastAsia="zh-CN"/>
        </w:rPr>
        <w:t>，</w:t>
      </w:r>
      <w:r>
        <w:rPr>
          <w:rFonts w:hint="eastAsia" w:ascii="宋体" w:hAnsi="宋体" w:eastAsia="仿宋_GB2312" w:cs="仿宋_GB2312"/>
          <w:spacing w:val="-8"/>
          <w:sz w:val="30"/>
          <w:szCs w:val="30"/>
          <w:highlight w:val="none"/>
          <w:lang w:val="en-US" w:eastAsia="zh-CN"/>
        </w:rPr>
        <w:t>主要用于支付工程建设施工款</w:t>
      </w:r>
      <w:r>
        <w:rPr>
          <w:rFonts w:hint="eastAsia" w:ascii="宋体" w:hAnsi="宋体" w:cs="仿宋_GB2312"/>
          <w:spacing w:val="-8"/>
          <w:sz w:val="30"/>
          <w:szCs w:val="30"/>
          <w:highlight w:val="none"/>
          <w:lang w:val="en-US" w:eastAsia="zh-CN"/>
        </w:rPr>
        <w:t>、设备采购款等</w:t>
      </w:r>
      <w:r>
        <w:rPr>
          <w:rFonts w:hint="eastAsia" w:ascii="宋体" w:hAnsi="宋体" w:eastAsia="仿宋_GB2312" w:cs="仿宋_GB2312"/>
          <w:spacing w:val="5"/>
          <w:sz w:val="30"/>
          <w:szCs w:val="30"/>
          <w:lang w:eastAsia="zh-CN"/>
        </w:rPr>
        <w:t>。</w:t>
      </w:r>
    </w:p>
    <w:p w14:paraId="311FB7BE">
      <w:pPr>
        <w:pStyle w:val="2"/>
        <w:bidi w:val="0"/>
        <w:rPr>
          <w:rFonts w:hint="eastAsia" w:ascii="宋体" w:hAnsi="宋体"/>
        </w:rPr>
      </w:pPr>
      <w:bookmarkStart w:id="21" w:name="_bookmark3"/>
      <w:bookmarkEnd w:id="21"/>
      <w:bookmarkStart w:id="22" w:name="_Toc9027"/>
      <w:r>
        <w:rPr>
          <w:rFonts w:hint="eastAsia" w:ascii="宋体" w:hAnsi="宋体"/>
          <w:lang w:eastAsia="zh-CN"/>
        </w:rPr>
        <w:t>（</w:t>
      </w:r>
      <w:r>
        <w:rPr>
          <w:rFonts w:hint="eastAsia" w:ascii="宋体" w:hAnsi="宋体"/>
          <w:lang w:val="en-US" w:eastAsia="zh-CN"/>
        </w:rPr>
        <w:t>二</w:t>
      </w:r>
      <w:r>
        <w:rPr>
          <w:rFonts w:hint="eastAsia" w:ascii="宋体" w:hAnsi="宋体"/>
          <w:lang w:eastAsia="zh-CN"/>
        </w:rPr>
        <w:t>）</w:t>
      </w:r>
      <w:r>
        <w:rPr>
          <w:rFonts w:hint="eastAsia" w:ascii="宋体" w:hAnsi="宋体"/>
        </w:rPr>
        <w:t>项目绩效目标</w:t>
      </w:r>
      <w:bookmarkEnd w:id="22"/>
    </w:p>
    <w:p w14:paraId="6194659D">
      <w:pPr>
        <w:pStyle w:val="4"/>
        <w:bidi w:val="0"/>
        <w:rPr>
          <w:rFonts w:hint="eastAsia" w:ascii="宋体" w:hAnsi="宋体"/>
          <w:lang w:val="en-US" w:eastAsia="zh-CN"/>
        </w:rPr>
      </w:pPr>
      <w:bookmarkStart w:id="23" w:name="_Toc24290"/>
      <w:bookmarkStart w:id="24" w:name="_Toc30011"/>
      <w:bookmarkStart w:id="25" w:name="_Toc32626"/>
      <w:r>
        <w:rPr>
          <w:rFonts w:hint="eastAsia" w:ascii="宋体" w:hAnsi="宋体"/>
          <w:lang w:val="en-US" w:eastAsia="zh-CN"/>
        </w:rPr>
        <w:t>1.总体目标</w:t>
      </w:r>
      <w:bookmarkEnd w:id="23"/>
      <w:bookmarkEnd w:id="24"/>
      <w:bookmarkEnd w:id="25"/>
    </w:p>
    <w:p w14:paraId="68DC8798">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68" w:firstLineChars="200"/>
        <w:jc w:val="left"/>
        <w:textAlignment w:val="baseline"/>
        <w:rPr>
          <w:rFonts w:hint="eastAsia" w:ascii="宋体" w:hAnsi="宋体" w:eastAsia="仿宋_GB2312" w:cs="仿宋_GB2312"/>
          <w:spacing w:val="-8"/>
          <w:sz w:val="30"/>
          <w:szCs w:val="30"/>
          <w:highlight w:val="none"/>
          <w:lang w:val="en-US" w:eastAsia="zh-CN"/>
        </w:rPr>
      </w:pPr>
      <w:r>
        <w:rPr>
          <w:rFonts w:hint="eastAsia" w:ascii="宋体" w:hAnsi="宋体" w:eastAsia="仿宋_GB2312" w:cs="仿宋_GB2312"/>
          <w:spacing w:val="-8"/>
          <w:sz w:val="30"/>
          <w:szCs w:val="30"/>
          <w:highlight w:val="none"/>
          <w:lang w:val="en-US" w:eastAsia="zh-CN"/>
        </w:rPr>
        <w:t>本项目总体目标是完成全部工程建设，完成全部投资计划。本项目的建设</w:t>
      </w:r>
      <w:r>
        <w:rPr>
          <w:rFonts w:hint="eastAsia" w:ascii="宋体" w:hAnsi="宋体" w:cs="仿宋_GB2312"/>
          <w:spacing w:val="-8"/>
          <w:sz w:val="30"/>
          <w:szCs w:val="30"/>
          <w:highlight w:val="none"/>
          <w:lang w:val="en-US" w:eastAsia="zh-CN"/>
        </w:rPr>
        <w:t>可以</w:t>
      </w:r>
      <w:r>
        <w:rPr>
          <w:rFonts w:hint="eastAsia" w:ascii="宋体" w:hAnsi="宋体" w:eastAsia="仿宋_GB2312" w:cs="仿宋_GB2312"/>
          <w:spacing w:val="-8"/>
          <w:sz w:val="30"/>
          <w:szCs w:val="30"/>
          <w:highlight w:val="none"/>
          <w:lang w:val="en-US" w:eastAsia="zh-CN"/>
        </w:rPr>
        <w:t>改善医疗环境和布局，发展宽城区医疗卫生事业；提高宽城区人民群众基本医疗保健满足程度，推进宽城区新型农村合作医疗试点工作。能有效促进宽城区医疗卫生服务体系建设，完善服务功能、增强服务能力、提高服务质量、降低药品价格，使广大群众的疾病能及时得到医治，有地方看病，方便看病，而且价格实惠。项目的实施给宽城区人民带来福祉，也产生很好的社会效益和经济效益。</w:t>
      </w:r>
      <w:bookmarkStart w:id="26" w:name="_Toc27422"/>
      <w:bookmarkStart w:id="27" w:name="_Toc18369"/>
    </w:p>
    <w:p w14:paraId="3B486330">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600" w:firstLineChars="200"/>
        <w:jc w:val="left"/>
        <w:textAlignment w:val="baseline"/>
        <w:rPr>
          <w:rFonts w:hint="eastAsia" w:ascii="宋体" w:hAnsi="宋体"/>
          <w:highlight w:val="none"/>
          <w:lang w:val="en-US" w:eastAsia="zh-CN"/>
        </w:rPr>
      </w:pPr>
      <w:r>
        <w:rPr>
          <w:rFonts w:hint="eastAsia" w:ascii="宋体" w:hAnsi="宋体"/>
          <w:lang w:val="en-US" w:eastAsia="zh-CN"/>
        </w:rPr>
        <w:t>2.年度目标</w:t>
      </w:r>
      <w:bookmarkEnd w:id="26"/>
      <w:bookmarkEnd w:id="27"/>
    </w:p>
    <w:p w14:paraId="1DFDDFB1">
      <w:pPr>
        <w:pStyle w:val="4"/>
        <w:keepNext w:val="0"/>
        <w:keepLines w:val="0"/>
        <w:pageBreakBefore w:val="0"/>
        <w:widowControl w:val="0"/>
        <w:kinsoku w:val="0"/>
        <w:wordWrap/>
        <w:overflowPunct/>
        <w:topLinePunct w:val="0"/>
        <w:autoSpaceDE w:val="0"/>
        <w:autoSpaceDN w:val="0"/>
        <w:bidi w:val="0"/>
        <w:adjustRightInd w:val="0"/>
        <w:snapToGrid w:val="0"/>
        <w:textAlignment w:val="baseline"/>
        <w:rPr>
          <w:rFonts w:hint="eastAsia" w:ascii="宋体" w:hAnsi="宋体"/>
          <w:highlight w:val="none"/>
          <w:lang w:val="en-US" w:eastAsia="zh-CN"/>
        </w:rPr>
      </w:pPr>
      <w:bookmarkStart w:id="28" w:name="_bookmark5"/>
      <w:bookmarkEnd w:id="28"/>
      <w:bookmarkStart w:id="29" w:name="_bookmark4"/>
      <w:bookmarkEnd w:id="29"/>
      <w:bookmarkStart w:id="30" w:name="_Toc9407"/>
      <w:r>
        <w:rPr>
          <w:rFonts w:hint="eastAsia" w:ascii="宋体" w:hAnsi="宋体"/>
          <w:highlight w:val="none"/>
          <w:lang w:val="en-US" w:eastAsia="zh-CN"/>
        </w:rPr>
        <w:t>目标1：投资规模达到项目总投资额的60%。</w:t>
      </w:r>
      <w:bookmarkEnd w:id="30"/>
    </w:p>
    <w:p w14:paraId="67217038">
      <w:pPr>
        <w:pStyle w:val="4"/>
        <w:keepNext w:val="0"/>
        <w:keepLines w:val="0"/>
        <w:pageBreakBefore w:val="0"/>
        <w:widowControl w:val="0"/>
        <w:kinsoku w:val="0"/>
        <w:wordWrap/>
        <w:overflowPunct/>
        <w:topLinePunct w:val="0"/>
        <w:autoSpaceDE w:val="0"/>
        <w:autoSpaceDN w:val="0"/>
        <w:bidi w:val="0"/>
        <w:adjustRightInd w:val="0"/>
        <w:snapToGrid w:val="0"/>
        <w:textAlignment w:val="baseline"/>
        <w:rPr>
          <w:rFonts w:hint="eastAsia" w:ascii="宋体" w:hAnsi="宋体"/>
          <w:highlight w:val="none"/>
          <w:lang w:val="en-US" w:eastAsia="zh-CN"/>
        </w:rPr>
      </w:pPr>
      <w:bookmarkStart w:id="31" w:name="_Toc18010"/>
      <w:r>
        <w:rPr>
          <w:rFonts w:hint="eastAsia" w:ascii="宋体" w:hAnsi="宋体"/>
          <w:highlight w:val="none"/>
          <w:lang w:val="en-US" w:eastAsia="zh-CN"/>
        </w:rPr>
        <w:t>目标2：完成工程项目建设进度的90%。</w:t>
      </w:r>
      <w:bookmarkEnd w:id="31"/>
    </w:p>
    <w:p w14:paraId="2162885C">
      <w:pPr>
        <w:pStyle w:val="3"/>
        <w:keepNext w:val="0"/>
        <w:keepLines w:val="0"/>
        <w:pageBreakBefore w:val="0"/>
        <w:widowControl w:val="0"/>
        <w:kinsoku w:val="0"/>
        <w:wordWrap/>
        <w:overflowPunct/>
        <w:topLinePunct w:val="0"/>
        <w:autoSpaceDE w:val="0"/>
        <w:autoSpaceDN w:val="0"/>
        <w:bidi w:val="0"/>
        <w:adjustRightInd w:val="0"/>
        <w:snapToGrid w:val="0"/>
        <w:textAlignment w:val="baseline"/>
        <w:rPr>
          <w:rFonts w:hint="eastAsia" w:ascii="宋体" w:hAnsi="宋体"/>
        </w:rPr>
      </w:pPr>
      <w:bookmarkStart w:id="32" w:name="_Toc12225"/>
      <w:r>
        <w:rPr>
          <w:rFonts w:hint="eastAsia" w:ascii="宋体" w:hAnsi="宋体"/>
        </w:rPr>
        <w:t>二、绩效评价工作开展情况</w:t>
      </w:r>
      <w:bookmarkEnd w:id="32"/>
    </w:p>
    <w:p w14:paraId="307828DA">
      <w:pPr>
        <w:pStyle w:val="2"/>
        <w:bidi w:val="0"/>
        <w:rPr>
          <w:rFonts w:hint="eastAsia" w:ascii="宋体" w:hAnsi="宋体"/>
        </w:rPr>
      </w:pPr>
      <w:bookmarkStart w:id="33" w:name="_Toc11477"/>
      <w:r>
        <w:rPr>
          <w:rFonts w:hint="eastAsia" w:ascii="宋体" w:hAnsi="宋体"/>
          <w:lang w:eastAsia="zh-CN"/>
        </w:rPr>
        <w:t>（</w:t>
      </w:r>
      <w:r>
        <w:rPr>
          <w:rFonts w:hint="eastAsia" w:ascii="宋体" w:hAnsi="宋体"/>
          <w:lang w:val="en-US" w:eastAsia="zh-CN"/>
        </w:rPr>
        <w:t>一</w:t>
      </w:r>
      <w:r>
        <w:rPr>
          <w:rFonts w:hint="eastAsia" w:ascii="宋体" w:hAnsi="宋体"/>
          <w:lang w:eastAsia="zh-CN"/>
        </w:rPr>
        <w:t>）</w:t>
      </w:r>
      <w:r>
        <w:rPr>
          <w:rFonts w:hint="eastAsia" w:ascii="宋体" w:hAnsi="宋体"/>
        </w:rPr>
        <w:t>绩效评价目的、对象和范围</w:t>
      </w:r>
      <w:bookmarkEnd w:id="33"/>
    </w:p>
    <w:p w14:paraId="04E1A340">
      <w:pPr>
        <w:pStyle w:val="4"/>
        <w:bidi w:val="0"/>
        <w:rPr>
          <w:rFonts w:hint="eastAsia" w:ascii="宋体" w:hAnsi="宋体"/>
          <w:lang w:val="en-US" w:eastAsia="zh-CN"/>
        </w:rPr>
      </w:pPr>
      <w:bookmarkStart w:id="34" w:name="_Toc7076"/>
      <w:bookmarkStart w:id="35" w:name="_Toc24049"/>
      <w:bookmarkStart w:id="36" w:name="_Toc20708"/>
      <w:r>
        <w:rPr>
          <w:rFonts w:hint="eastAsia" w:ascii="宋体" w:hAnsi="宋体"/>
          <w:lang w:val="en-US" w:eastAsia="zh-CN"/>
        </w:rPr>
        <w:t>1.评价目的</w:t>
      </w:r>
      <w:bookmarkEnd w:id="34"/>
      <w:bookmarkEnd w:id="35"/>
      <w:bookmarkEnd w:id="36"/>
    </w:p>
    <w:p w14:paraId="48E99BC6">
      <w:pPr>
        <w:keepNext w:val="0"/>
        <w:keepLines w:val="0"/>
        <w:pageBreakBefore w:val="0"/>
        <w:widowControl w:val="0"/>
        <w:wordWrap/>
        <w:overflowPunct/>
        <w:topLinePunct w:val="0"/>
        <w:bidi w:val="0"/>
        <w:spacing w:line="360" w:lineRule="auto"/>
        <w:ind w:left="0" w:right="0" w:firstLine="568" w:firstLineChars="200"/>
        <w:jc w:val="left"/>
        <w:textAlignment w:val="baseline"/>
        <w:rPr>
          <w:rFonts w:hint="eastAsia" w:ascii="宋体" w:hAnsi="宋体" w:eastAsia="仿宋_GB2312" w:cs="仿宋_GB2312"/>
          <w:spacing w:val="-8"/>
          <w:sz w:val="30"/>
          <w:szCs w:val="30"/>
          <w:lang w:val="en-US" w:eastAsia="zh-CN"/>
        </w:rPr>
      </w:pPr>
      <w:r>
        <w:rPr>
          <w:rFonts w:hint="eastAsia" w:ascii="宋体" w:hAnsi="宋体" w:eastAsia="仿宋_GB2312" w:cs="仿宋_GB2312"/>
          <w:spacing w:val="-8"/>
          <w:sz w:val="30"/>
          <w:szCs w:val="30"/>
          <w:lang w:val="en-US" w:eastAsia="zh-CN"/>
        </w:rPr>
        <w:t>（1）通过对</w:t>
      </w:r>
      <w:r>
        <w:rPr>
          <w:rFonts w:hint="eastAsia" w:ascii="宋体" w:hAnsi="宋体" w:cs="仿宋_GB2312"/>
          <w:spacing w:val="-8"/>
          <w:sz w:val="30"/>
          <w:szCs w:val="30"/>
          <w:lang w:val="en-US" w:eastAsia="zh-CN"/>
        </w:rPr>
        <w:t>长春市宽城区医院异地建设</w:t>
      </w:r>
      <w:r>
        <w:rPr>
          <w:rFonts w:hint="eastAsia" w:ascii="宋体" w:hAnsi="宋体" w:eastAsia="仿宋_GB2312" w:cs="仿宋_GB2312"/>
          <w:spacing w:val="-8"/>
          <w:sz w:val="30"/>
          <w:szCs w:val="30"/>
          <w:lang w:val="en-US" w:eastAsia="zh-CN"/>
        </w:rPr>
        <w:t>项目的绩效评价，了解和掌握项目实施的具体情况，评价其项目资金安排的科学性、合理性、规范性和资金使用成效，及时总结项目管理经验，完善项目管理办法，提高项目管理水平和资金的使用效益。</w:t>
      </w:r>
    </w:p>
    <w:p w14:paraId="7591F45D">
      <w:pPr>
        <w:keepNext w:val="0"/>
        <w:keepLines w:val="0"/>
        <w:pageBreakBefore w:val="0"/>
        <w:widowControl w:val="0"/>
        <w:wordWrap/>
        <w:overflowPunct/>
        <w:topLinePunct w:val="0"/>
        <w:bidi w:val="0"/>
        <w:spacing w:line="360" w:lineRule="auto"/>
        <w:ind w:left="0" w:right="0" w:firstLine="568" w:firstLineChars="200"/>
        <w:jc w:val="left"/>
        <w:textAlignment w:val="baseline"/>
        <w:rPr>
          <w:rFonts w:hint="eastAsia" w:ascii="宋体" w:hAnsi="宋体" w:eastAsia="仿宋_GB2312" w:cs="仿宋_GB2312"/>
          <w:spacing w:val="-8"/>
          <w:sz w:val="30"/>
          <w:szCs w:val="30"/>
          <w:lang w:val="en-US" w:eastAsia="zh-CN"/>
        </w:rPr>
      </w:pPr>
      <w:r>
        <w:rPr>
          <w:rFonts w:hint="eastAsia" w:ascii="宋体" w:hAnsi="宋体" w:eastAsia="仿宋_GB2312" w:cs="仿宋_GB2312"/>
          <w:spacing w:val="-8"/>
          <w:sz w:val="30"/>
          <w:szCs w:val="30"/>
          <w:lang w:val="en-US" w:eastAsia="zh-CN"/>
        </w:rPr>
        <w:t>（2）促使项目承担单位根据绩效评价中发现的问题，认真加以整改，及时调整和完善单位的工作计划和绩效目标并加强项目管理，提高管理水平，同时为项目后续资金投入、分配和管理提供决策依据。</w:t>
      </w:r>
    </w:p>
    <w:p w14:paraId="4CC278D5">
      <w:pPr>
        <w:pStyle w:val="4"/>
        <w:bidi w:val="0"/>
        <w:rPr>
          <w:rFonts w:hint="eastAsia" w:ascii="宋体" w:hAnsi="宋体"/>
          <w:lang w:val="en-US" w:eastAsia="zh-CN"/>
        </w:rPr>
      </w:pPr>
      <w:bookmarkStart w:id="37" w:name="_Toc5375"/>
      <w:bookmarkStart w:id="38" w:name="_Toc23340"/>
      <w:bookmarkStart w:id="39" w:name="_Toc29899"/>
      <w:r>
        <w:rPr>
          <w:rFonts w:hint="eastAsia" w:ascii="宋体" w:hAnsi="宋体"/>
          <w:lang w:val="en-US" w:eastAsia="zh-CN"/>
        </w:rPr>
        <w:t>2.评价对象</w:t>
      </w:r>
      <w:bookmarkEnd w:id="37"/>
      <w:bookmarkEnd w:id="38"/>
      <w:bookmarkEnd w:id="39"/>
    </w:p>
    <w:p w14:paraId="1B3D0C8C">
      <w:pPr>
        <w:keepNext w:val="0"/>
        <w:keepLines w:val="0"/>
        <w:pageBreakBefore w:val="0"/>
        <w:widowControl w:val="0"/>
        <w:wordWrap/>
        <w:overflowPunct/>
        <w:topLinePunct w:val="0"/>
        <w:bidi w:val="0"/>
        <w:spacing w:line="360" w:lineRule="auto"/>
        <w:ind w:left="0" w:right="0" w:firstLine="568" w:firstLineChars="200"/>
        <w:jc w:val="left"/>
        <w:textAlignment w:val="baseline"/>
        <w:rPr>
          <w:rFonts w:hint="eastAsia" w:ascii="宋体" w:hAnsi="宋体" w:eastAsia="仿宋_GB2312" w:cs="仿宋_GB2312"/>
          <w:spacing w:val="-8"/>
          <w:sz w:val="30"/>
          <w:szCs w:val="30"/>
          <w:highlight w:val="none"/>
          <w:lang w:val="en-US" w:eastAsia="zh-CN"/>
        </w:rPr>
      </w:pPr>
      <w:r>
        <w:rPr>
          <w:rFonts w:hint="eastAsia" w:ascii="宋体" w:hAnsi="宋体" w:cs="仿宋_GB2312"/>
          <w:spacing w:val="-8"/>
          <w:sz w:val="30"/>
          <w:szCs w:val="30"/>
          <w:highlight w:val="none"/>
          <w:lang w:val="en-US" w:eastAsia="zh-CN"/>
        </w:rPr>
        <w:t>本次绩效评价对象为长春市宽城区医院异地建设</w:t>
      </w:r>
      <w:r>
        <w:rPr>
          <w:rFonts w:hint="eastAsia" w:ascii="宋体" w:hAnsi="宋体" w:eastAsia="仿宋_GB2312" w:cs="仿宋_GB2312"/>
          <w:spacing w:val="-8"/>
          <w:sz w:val="30"/>
          <w:szCs w:val="30"/>
          <w:highlight w:val="none"/>
          <w:lang w:val="en-US" w:eastAsia="zh-CN"/>
        </w:rPr>
        <w:t>项目。</w:t>
      </w:r>
    </w:p>
    <w:p w14:paraId="0B6DA3ED">
      <w:pPr>
        <w:pStyle w:val="4"/>
        <w:bidi w:val="0"/>
        <w:rPr>
          <w:rFonts w:hint="eastAsia" w:ascii="宋体" w:hAnsi="宋体"/>
          <w:lang w:val="en-US" w:eastAsia="zh-CN"/>
        </w:rPr>
      </w:pPr>
      <w:bookmarkStart w:id="40" w:name="_Toc10968"/>
      <w:bookmarkStart w:id="41" w:name="_Toc1633"/>
      <w:bookmarkStart w:id="42" w:name="_Toc8645"/>
      <w:r>
        <w:rPr>
          <w:rFonts w:hint="eastAsia" w:ascii="宋体" w:hAnsi="宋体"/>
          <w:lang w:val="en-US" w:eastAsia="zh-CN"/>
        </w:rPr>
        <w:t>3.评价范围</w:t>
      </w:r>
      <w:bookmarkEnd w:id="40"/>
      <w:bookmarkEnd w:id="41"/>
      <w:bookmarkEnd w:id="42"/>
    </w:p>
    <w:p w14:paraId="76674A15">
      <w:pPr>
        <w:keepNext w:val="0"/>
        <w:keepLines w:val="0"/>
        <w:pageBreakBefore w:val="0"/>
        <w:widowControl w:val="0"/>
        <w:wordWrap/>
        <w:overflowPunct/>
        <w:topLinePunct w:val="0"/>
        <w:bidi w:val="0"/>
        <w:spacing w:line="360" w:lineRule="auto"/>
        <w:ind w:left="0" w:right="0" w:firstLine="568" w:firstLineChars="200"/>
        <w:jc w:val="left"/>
        <w:textAlignment w:val="baseline"/>
        <w:rPr>
          <w:rFonts w:hint="eastAsia" w:ascii="宋体" w:hAnsi="宋体" w:eastAsia="仿宋_GB2312" w:cs="仿宋_GB2312"/>
          <w:spacing w:val="-8"/>
          <w:sz w:val="30"/>
          <w:szCs w:val="30"/>
          <w:lang w:val="en-US" w:eastAsia="zh-CN"/>
        </w:rPr>
      </w:pPr>
      <w:r>
        <w:rPr>
          <w:rFonts w:hint="eastAsia" w:ascii="宋体" w:hAnsi="宋体" w:eastAsia="仿宋_GB2312" w:cs="仿宋_GB2312"/>
          <w:spacing w:val="-8"/>
          <w:sz w:val="30"/>
          <w:szCs w:val="30"/>
          <w:lang w:val="en-US" w:eastAsia="zh-CN"/>
        </w:rPr>
        <w:t>本次绩效评价将主要对长春市宽城区医院异地建设项目进行评价，涉及地区为</w:t>
      </w:r>
      <w:r>
        <w:rPr>
          <w:rFonts w:hint="eastAsia" w:ascii="宋体" w:hAnsi="宋体" w:cs="仿宋_GB2312"/>
          <w:spacing w:val="-8"/>
          <w:sz w:val="30"/>
          <w:szCs w:val="30"/>
          <w:lang w:val="en-US" w:eastAsia="zh-CN"/>
        </w:rPr>
        <w:t>长春宽城经济</w:t>
      </w:r>
      <w:r>
        <w:rPr>
          <w:rFonts w:hint="eastAsia" w:ascii="宋体" w:hAnsi="宋体" w:eastAsia="仿宋_GB2312" w:cs="仿宋_GB2312"/>
          <w:spacing w:val="-8"/>
          <w:sz w:val="30"/>
          <w:szCs w:val="30"/>
          <w:lang w:val="en-US" w:eastAsia="zh-CN"/>
        </w:rPr>
        <w:t>开发区。涉及具体项目1个，涉及的相关单位有：</w:t>
      </w:r>
      <w:r>
        <w:rPr>
          <w:rFonts w:hint="eastAsia" w:ascii="宋体" w:hAnsi="宋体" w:cs="仿宋_GB2312"/>
          <w:spacing w:val="-8"/>
          <w:sz w:val="30"/>
          <w:szCs w:val="30"/>
          <w:lang w:val="en-US" w:eastAsia="zh-CN"/>
        </w:rPr>
        <w:t>长春宽城经济</w:t>
      </w:r>
      <w:r>
        <w:rPr>
          <w:rFonts w:hint="eastAsia" w:ascii="宋体" w:hAnsi="宋体" w:eastAsia="仿宋_GB2312" w:cs="仿宋_GB2312"/>
          <w:spacing w:val="-8"/>
          <w:sz w:val="30"/>
          <w:szCs w:val="30"/>
          <w:lang w:val="en-US" w:eastAsia="zh-CN"/>
        </w:rPr>
        <w:t>开发区管理委员会、</w:t>
      </w:r>
      <w:r>
        <w:rPr>
          <w:rFonts w:hint="eastAsia" w:ascii="宋体" w:hAnsi="宋体" w:cs="仿宋_GB2312"/>
          <w:spacing w:val="-8"/>
          <w:sz w:val="30"/>
          <w:szCs w:val="30"/>
          <w:lang w:val="en-US" w:eastAsia="zh-CN"/>
        </w:rPr>
        <w:t>长春市宽城区医院</w:t>
      </w:r>
      <w:r>
        <w:rPr>
          <w:rFonts w:hint="eastAsia" w:ascii="宋体" w:hAnsi="宋体" w:eastAsia="仿宋_GB2312" w:cs="仿宋_GB2312"/>
          <w:spacing w:val="-8"/>
          <w:sz w:val="30"/>
          <w:szCs w:val="30"/>
          <w:lang w:val="en-US" w:eastAsia="zh-CN"/>
        </w:rPr>
        <w:t>等多个部门。</w:t>
      </w:r>
    </w:p>
    <w:p w14:paraId="28CD2FF7">
      <w:pPr>
        <w:keepNext w:val="0"/>
        <w:keepLines w:val="0"/>
        <w:pageBreakBefore w:val="0"/>
        <w:widowControl w:val="0"/>
        <w:wordWrap/>
        <w:overflowPunct/>
        <w:topLinePunct w:val="0"/>
        <w:bidi w:val="0"/>
        <w:spacing w:line="360" w:lineRule="auto"/>
        <w:ind w:left="0" w:right="0" w:firstLine="568" w:firstLineChars="200"/>
        <w:jc w:val="left"/>
        <w:textAlignment w:val="baseline"/>
        <w:rPr>
          <w:rFonts w:hint="eastAsia" w:ascii="宋体" w:hAnsi="宋体" w:eastAsia="仿宋_GB2312" w:cs="仿宋_GB2312"/>
          <w:spacing w:val="-8"/>
          <w:sz w:val="30"/>
          <w:szCs w:val="30"/>
          <w:lang w:val="en-US" w:eastAsia="zh-CN"/>
        </w:rPr>
      </w:pPr>
      <w:r>
        <w:rPr>
          <w:rFonts w:hint="eastAsia" w:ascii="宋体" w:hAnsi="宋体" w:eastAsia="仿宋_GB2312" w:cs="仿宋_GB2312"/>
          <w:spacing w:val="-8"/>
          <w:sz w:val="30"/>
          <w:szCs w:val="30"/>
          <w:lang w:val="en-US" w:eastAsia="zh-CN"/>
        </w:rPr>
        <w:t>本次项目绩效评价主要围绕项目决策、资金管理、项目产出和效益等多个角度考察项目目标实现情况、预算执行情况和项目整体效果。重点评价专项债券资金的拨付、发放及使用环节。</w:t>
      </w:r>
    </w:p>
    <w:p w14:paraId="2A4EC783">
      <w:pPr>
        <w:pStyle w:val="2"/>
        <w:numPr>
          <w:ilvl w:val="0"/>
          <w:numId w:val="1"/>
        </w:numPr>
        <w:bidi w:val="0"/>
        <w:rPr>
          <w:rFonts w:hint="eastAsia" w:ascii="宋体" w:hAnsi="宋体"/>
          <w:lang w:val="en-US" w:eastAsia="zh-CN"/>
        </w:rPr>
      </w:pPr>
      <w:bookmarkStart w:id="43" w:name="_bookmark6"/>
      <w:bookmarkEnd w:id="43"/>
      <w:bookmarkStart w:id="44" w:name="_Toc19851"/>
      <w:r>
        <w:rPr>
          <w:rFonts w:hint="eastAsia" w:ascii="宋体" w:hAnsi="宋体"/>
          <w:lang w:val="en-US" w:eastAsia="zh-CN"/>
        </w:rPr>
        <w:t>绩效评价依据</w:t>
      </w:r>
      <w:bookmarkEnd w:id="44"/>
    </w:p>
    <w:p w14:paraId="4997EA40">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highlight w:val="none"/>
          <w:shd w:val="clear" w:fill="FFFFFF"/>
          <w:lang w:val="en-US" w:eastAsia="zh-CN"/>
        </w:rPr>
      </w:pPr>
      <w:r>
        <w:rPr>
          <w:rFonts w:hint="eastAsia" w:ascii="宋体" w:hAnsi="宋体" w:eastAsia="仿宋_GB2312" w:cs="仿宋_GB2312"/>
          <w:i w:val="0"/>
          <w:iCs w:val="0"/>
          <w:caps w:val="0"/>
          <w:color w:val="333333"/>
          <w:spacing w:val="6"/>
          <w:sz w:val="30"/>
          <w:szCs w:val="30"/>
          <w:highlight w:val="none"/>
          <w:shd w:val="clear" w:fill="FFFFFF"/>
          <w:lang w:val="en-US" w:eastAsia="zh-CN"/>
        </w:rPr>
        <w:t>（1）《项目支出绩效评价管理办法》（财预【2020】10号）；</w:t>
      </w:r>
    </w:p>
    <w:p w14:paraId="38A96246">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highlight w:val="none"/>
          <w:shd w:val="clear" w:fill="FFFFFF"/>
          <w:lang w:val="en-US" w:eastAsia="zh-CN"/>
        </w:rPr>
      </w:pPr>
      <w:r>
        <w:rPr>
          <w:rFonts w:hint="eastAsia" w:ascii="宋体" w:hAnsi="宋体" w:eastAsia="仿宋_GB2312" w:cs="仿宋_GB2312"/>
          <w:i w:val="0"/>
          <w:iCs w:val="0"/>
          <w:caps w:val="0"/>
          <w:color w:val="333333"/>
          <w:spacing w:val="6"/>
          <w:sz w:val="30"/>
          <w:szCs w:val="30"/>
          <w:highlight w:val="none"/>
          <w:shd w:val="clear" w:fill="FFFFFF"/>
          <w:lang w:val="en-US" w:eastAsia="zh-CN"/>
        </w:rPr>
        <w:t>（2）《吉林省项目支出绩效评价管理暂行办法》（吉财绩【2020】711号）；</w:t>
      </w:r>
    </w:p>
    <w:p w14:paraId="301FE593">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highlight w:val="none"/>
          <w:shd w:val="clear" w:fill="FFFFFF"/>
          <w:lang w:val="en-US" w:eastAsia="zh-CN"/>
        </w:rPr>
      </w:pPr>
      <w:r>
        <w:rPr>
          <w:rFonts w:hint="eastAsia" w:ascii="宋体" w:hAnsi="宋体" w:eastAsia="仿宋_GB2312" w:cs="仿宋_GB2312"/>
          <w:i w:val="0"/>
          <w:iCs w:val="0"/>
          <w:caps w:val="0"/>
          <w:color w:val="333333"/>
          <w:spacing w:val="6"/>
          <w:sz w:val="30"/>
          <w:szCs w:val="30"/>
          <w:highlight w:val="none"/>
          <w:shd w:val="clear" w:fill="FFFFFF"/>
          <w:lang w:val="en-US" w:eastAsia="zh-CN"/>
        </w:rPr>
        <w:t>（3）《地方政府专项债券项目资金绩效管理办法》（财预【2021】61号）；</w:t>
      </w:r>
    </w:p>
    <w:p w14:paraId="12885B04">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highlight w:val="none"/>
          <w:shd w:val="clear" w:fill="FFFFFF"/>
          <w:lang w:val="en-US" w:eastAsia="zh-CN"/>
        </w:rPr>
      </w:pPr>
      <w:r>
        <w:rPr>
          <w:rFonts w:hint="eastAsia" w:ascii="宋体" w:hAnsi="宋体" w:eastAsia="仿宋_GB2312" w:cs="仿宋_GB2312"/>
          <w:i w:val="0"/>
          <w:iCs w:val="0"/>
          <w:caps w:val="0"/>
          <w:color w:val="333333"/>
          <w:spacing w:val="6"/>
          <w:sz w:val="30"/>
          <w:szCs w:val="30"/>
          <w:highlight w:val="none"/>
          <w:shd w:val="clear" w:fill="FFFFFF"/>
          <w:lang w:val="en-US" w:eastAsia="zh-CN"/>
        </w:rPr>
        <w:t>（4）《吉林省地方政府专项债券项目绩效评价管理办法（试行）》（吉财债【2021】1044</w:t>
      </w:r>
      <w:r>
        <w:rPr>
          <w:rFonts w:hint="eastAsia" w:ascii="宋体" w:hAnsi="宋体" w:cs="仿宋_GB2312"/>
          <w:i w:val="0"/>
          <w:iCs w:val="0"/>
          <w:caps w:val="0"/>
          <w:color w:val="333333"/>
          <w:spacing w:val="6"/>
          <w:sz w:val="30"/>
          <w:szCs w:val="30"/>
          <w:highlight w:val="none"/>
          <w:shd w:val="clear" w:fill="FFFFFF"/>
          <w:lang w:val="en-US" w:eastAsia="zh-CN"/>
        </w:rPr>
        <w:t>）</w:t>
      </w:r>
      <w:r>
        <w:rPr>
          <w:rFonts w:hint="eastAsia" w:ascii="宋体" w:hAnsi="宋体" w:eastAsia="仿宋_GB2312" w:cs="仿宋_GB2312"/>
          <w:i w:val="0"/>
          <w:iCs w:val="0"/>
          <w:caps w:val="0"/>
          <w:color w:val="333333"/>
          <w:spacing w:val="6"/>
          <w:sz w:val="30"/>
          <w:szCs w:val="30"/>
          <w:highlight w:val="none"/>
          <w:shd w:val="clear" w:fill="FFFFFF"/>
          <w:lang w:val="en-US" w:eastAsia="zh-CN"/>
        </w:rPr>
        <w:t>；</w:t>
      </w:r>
    </w:p>
    <w:p w14:paraId="5C295D4A">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highlight w:val="none"/>
          <w:shd w:val="clear" w:fill="FFFFFF"/>
          <w:lang w:val="en-US" w:eastAsia="zh-CN"/>
        </w:rPr>
      </w:pPr>
      <w:r>
        <w:rPr>
          <w:rFonts w:hint="eastAsia" w:ascii="宋体" w:hAnsi="宋体" w:eastAsia="仿宋_GB2312" w:cs="仿宋_GB2312"/>
          <w:i w:val="0"/>
          <w:iCs w:val="0"/>
          <w:caps w:val="0"/>
          <w:color w:val="333333"/>
          <w:spacing w:val="6"/>
          <w:sz w:val="30"/>
          <w:szCs w:val="30"/>
          <w:highlight w:val="none"/>
          <w:shd w:val="clear" w:fill="FFFFFF"/>
          <w:lang w:val="en-US" w:eastAsia="zh-CN"/>
        </w:rPr>
        <w:t>（5）《吉林省项目支出预算绩效目标管理办法》（吉财绩【2021】1333号）；</w:t>
      </w:r>
    </w:p>
    <w:p w14:paraId="5AF298FF">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highlight w:val="none"/>
          <w:shd w:val="clear" w:fill="FFFFFF"/>
          <w:lang w:val="en-US" w:eastAsia="zh-CN"/>
        </w:rPr>
      </w:pPr>
      <w:r>
        <w:rPr>
          <w:rFonts w:hint="eastAsia" w:ascii="宋体" w:hAnsi="宋体" w:eastAsia="仿宋_GB2312" w:cs="仿宋_GB2312"/>
          <w:i w:val="0"/>
          <w:iCs w:val="0"/>
          <w:caps w:val="0"/>
          <w:color w:val="333333"/>
          <w:spacing w:val="6"/>
          <w:sz w:val="30"/>
          <w:szCs w:val="30"/>
          <w:highlight w:val="none"/>
          <w:shd w:val="clear" w:fill="FFFFFF"/>
          <w:lang w:val="en-US" w:eastAsia="zh-CN"/>
        </w:rPr>
        <w:t>（6）《国家发展改革委关于加强中央预算内投资项目概算调整管理的通知》（发改投资【2009】1550号）；</w:t>
      </w:r>
    </w:p>
    <w:p w14:paraId="7991ADFA">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highlight w:val="none"/>
          <w:shd w:val="clear" w:fill="FFFFFF"/>
          <w:lang w:val="en-US" w:eastAsia="zh-CN"/>
        </w:rPr>
      </w:pPr>
      <w:r>
        <w:rPr>
          <w:rFonts w:hint="eastAsia" w:ascii="宋体" w:hAnsi="宋体" w:eastAsia="仿宋_GB2312" w:cs="仿宋_GB2312"/>
          <w:i w:val="0"/>
          <w:iCs w:val="0"/>
          <w:caps w:val="0"/>
          <w:color w:val="333333"/>
          <w:spacing w:val="6"/>
          <w:sz w:val="30"/>
          <w:szCs w:val="30"/>
          <w:highlight w:val="none"/>
          <w:shd w:val="clear" w:fill="FFFFFF"/>
          <w:lang w:val="en-US" w:eastAsia="zh-CN"/>
        </w:rPr>
        <w:t>（7）《关于印发</w:t>
      </w:r>
      <w:r>
        <w:rPr>
          <w:rFonts w:hint="eastAsia" w:ascii="宋体" w:hAnsi="宋体" w:cs="仿宋_GB2312"/>
          <w:i w:val="0"/>
          <w:iCs w:val="0"/>
          <w:caps w:val="0"/>
          <w:color w:val="333333"/>
          <w:spacing w:val="6"/>
          <w:sz w:val="30"/>
          <w:szCs w:val="30"/>
          <w:highlight w:val="none"/>
          <w:shd w:val="clear" w:fill="FFFFFF"/>
          <w:lang w:val="en-US" w:eastAsia="zh-CN"/>
        </w:rPr>
        <w:t>〈</w:t>
      </w:r>
      <w:r>
        <w:rPr>
          <w:rFonts w:hint="eastAsia" w:ascii="宋体" w:hAnsi="宋体" w:eastAsia="仿宋_GB2312" w:cs="仿宋_GB2312"/>
          <w:i w:val="0"/>
          <w:iCs w:val="0"/>
          <w:caps w:val="0"/>
          <w:color w:val="333333"/>
          <w:spacing w:val="6"/>
          <w:sz w:val="30"/>
          <w:szCs w:val="30"/>
          <w:highlight w:val="none"/>
          <w:shd w:val="clear" w:fill="FFFFFF"/>
          <w:lang w:val="en-US" w:eastAsia="zh-CN"/>
        </w:rPr>
        <w:t>基本建设项目建设成本管理规定</w:t>
      </w:r>
      <w:r>
        <w:rPr>
          <w:rFonts w:hint="eastAsia" w:ascii="宋体" w:hAnsi="宋体" w:cs="仿宋_GB2312"/>
          <w:i w:val="0"/>
          <w:iCs w:val="0"/>
          <w:caps w:val="0"/>
          <w:color w:val="333333"/>
          <w:spacing w:val="6"/>
          <w:sz w:val="30"/>
          <w:szCs w:val="30"/>
          <w:highlight w:val="none"/>
          <w:shd w:val="clear" w:fill="FFFFFF"/>
          <w:lang w:val="en-US" w:eastAsia="zh-CN"/>
        </w:rPr>
        <w:t>〉</w:t>
      </w:r>
      <w:r>
        <w:rPr>
          <w:rFonts w:hint="eastAsia" w:ascii="宋体" w:hAnsi="宋体" w:eastAsia="仿宋_GB2312" w:cs="仿宋_GB2312"/>
          <w:i w:val="0"/>
          <w:iCs w:val="0"/>
          <w:caps w:val="0"/>
          <w:color w:val="333333"/>
          <w:spacing w:val="6"/>
          <w:sz w:val="30"/>
          <w:szCs w:val="30"/>
          <w:highlight w:val="none"/>
          <w:shd w:val="clear" w:fill="FFFFFF"/>
          <w:lang w:val="en-US" w:eastAsia="zh-CN"/>
        </w:rPr>
        <w:t>的通知》（财建【2016】504号）；</w:t>
      </w:r>
    </w:p>
    <w:p w14:paraId="08A2039A">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highlight w:val="none"/>
          <w:shd w:val="clear" w:fill="FFFFFF"/>
          <w:lang w:val="en-US" w:eastAsia="zh-CN"/>
        </w:rPr>
      </w:pPr>
      <w:r>
        <w:rPr>
          <w:rFonts w:hint="eastAsia" w:ascii="宋体" w:hAnsi="宋体" w:eastAsia="仿宋_GB2312" w:cs="仿宋_GB2312"/>
          <w:i w:val="0"/>
          <w:iCs w:val="0"/>
          <w:caps w:val="0"/>
          <w:color w:val="333333"/>
          <w:spacing w:val="6"/>
          <w:sz w:val="30"/>
          <w:szCs w:val="30"/>
          <w:highlight w:val="none"/>
          <w:shd w:val="clear" w:fill="FFFFFF"/>
          <w:lang w:val="en-US" w:eastAsia="zh-CN"/>
        </w:rPr>
        <w:t>（8）《中共中央国务院关于全面实施预算绩效管理的意见》（2018年9月1日）；</w:t>
      </w:r>
    </w:p>
    <w:p w14:paraId="6C2B4ADA">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highlight w:val="none"/>
          <w:shd w:val="clear" w:fill="FFFFFF"/>
          <w:lang w:val="en-US" w:eastAsia="zh-CN"/>
        </w:rPr>
      </w:pPr>
      <w:r>
        <w:rPr>
          <w:rFonts w:hint="eastAsia" w:ascii="宋体" w:hAnsi="宋体" w:eastAsia="仿宋_GB2312" w:cs="仿宋_GB2312"/>
          <w:i w:val="0"/>
          <w:iCs w:val="0"/>
          <w:caps w:val="0"/>
          <w:color w:val="333333"/>
          <w:spacing w:val="6"/>
          <w:sz w:val="30"/>
          <w:szCs w:val="30"/>
          <w:highlight w:val="none"/>
          <w:shd w:val="clear" w:fill="FFFFFF"/>
          <w:lang w:val="en-US" w:eastAsia="zh-CN"/>
        </w:rPr>
        <w:t>（9）《关于委托第三方机构参与预算绩效管理的指导意见》（财预【2021】6号）；</w:t>
      </w:r>
    </w:p>
    <w:p w14:paraId="27A4EFF2">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highlight w:val="none"/>
          <w:shd w:val="clear" w:fill="FFFFFF"/>
          <w:lang w:val="en-US" w:eastAsia="zh-CN"/>
        </w:rPr>
      </w:pPr>
      <w:r>
        <w:rPr>
          <w:rFonts w:hint="eastAsia" w:ascii="宋体" w:hAnsi="宋体" w:eastAsia="仿宋_GB2312" w:cs="仿宋_GB2312"/>
          <w:i w:val="0"/>
          <w:iCs w:val="0"/>
          <w:caps w:val="0"/>
          <w:color w:val="333333"/>
          <w:spacing w:val="6"/>
          <w:sz w:val="30"/>
          <w:szCs w:val="30"/>
          <w:highlight w:val="none"/>
          <w:shd w:val="clear" w:fill="FFFFFF"/>
          <w:lang w:val="en-US" w:eastAsia="zh-CN"/>
        </w:rPr>
        <w:t>（10）《长春市</w:t>
      </w:r>
      <w:r>
        <w:rPr>
          <w:rFonts w:hint="eastAsia" w:ascii="宋体" w:hAnsi="宋体" w:cs="仿宋_GB2312"/>
          <w:i w:val="0"/>
          <w:iCs w:val="0"/>
          <w:caps w:val="0"/>
          <w:color w:val="333333"/>
          <w:spacing w:val="6"/>
          <w:sz w:val="30"/>
          <w:szCs w:val="30"/>
          <w:highlight w:val="none"/>
          <w:shd w:val="clear" w:fill="FFFFFF"/>
          <w:lang w:val="en-US" w:eastAsia="zh-CN"/>
        </w:rPr>
        <w:t>宽城区医院异地建设</w:t>
      </w:r>
      <w:r>
        <w:rPr>
          <w:rFonts w:hint="eastAsia" w:ascii="宋体" w:hAnsi="宋体" w:eastAsia="仿宋_GB2312" w:cs="仿宋_GB2312"/>
          <w:i w:val="0"/>
          <w:iCs w:val="0"/>
          <w:caps w:val="0"/>
          <w:color w:val="333333"/>
          <w:spacing w:val="6"/>
          <w:sz w:val="30"/>
          <w:szCs w:val="30"/>
          <w:highlight w:val="none"/>
          <w:shd w:val="clear" w:fill="FFFFFF"/>
          <w:lang w:val="en-US" w:eastAsia="zh-CN"/>
        </w:rPr>
        <w:t>项目》的可行性研究报告</w:t>
      </w:r>
      <w:r>
        <w:rPr>
          <w:rFonts w:hint="eastAsia" w:ascii="宋体" w:hAnsi="宋体" w:cs="仿宋_GB2312"/>
          <w:i w:val="0"/>
          <w:iCs w:val="0"/>
          <w:caps w:val="0"/>
          <w:color w:val="333333"/>
          <w:spacing w:val="6"/>
          <w:sz w:val="30"/>
          <w:szCs w:val="30"/>
          <w:highlight w:val="none"/>
          <w:shd w:val="clear" w:fill="FFFFFF"/>
          <w:lang w:val="en-US" w:eastAsia="zh-CN"/>
        </w:rPr>
        <w:t>及批复、</w:t>
      </w:r>
      <w:r>
        <w:rPr>
          <w:rFonts w:hint="eastAsia" w:ascii="宋体" w:hAnsi="宋体" w:eastAsia="仿宋_GB2312" w:cs="仿宋_GB2312"/>
          <w:i w:val="0"/>
          <w:iCs w:val="0"/>
          <w:caps w:val="0"/>
          <w:color w:val="333333"/>
          <w:spacing w:val="6"/>
          <w:sz w:val="30"/>
          <w:szCs w:val="30"/>
          <w:highlight w:val="none"/>
          <w:shd w:val="clear" w:fill="FFFFFF"/>
          <w:lang w:val="en-US" w:eastAsia="zh-CN"/>
        </w:rPr>
        <w:t>项目收益与融资自求平衡方案等其他资料；</w:t>
      </w:r>
    </w:p>
    <w:p w14:paraId="33FB3282">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highlight w:val="none"/>
          <w:shd w:val="clear" w:fill="FFFFFF"/>
          <w:lang w:val="en-US" w:eastAsia="zh-CN"/>
        </w:rPr>
      </w:pPr>
      <w:r>
        <w:rPr>
          <w:rFonts w:hint="eastAsia" w:ascii="宋体" w:hAnsi="宋体" w:eastAsia="仿宋_GB2312" w:cs="仿宋_GB2312"/>
          <w:i w:val="0"/>
          <w:iCs w:val="0"/>
          <w:caps w:val="0"/>
          <w:color w:val="333333"/>
          <w:spacing w:val="6"/>
          <w:sz w:val="30"/>
          <w:szCs w:val="30"/>
          <w:highlight w:val="none"/>
          <w:shd w:val="clear" w:fill="FFFFFF"/>
          <w:lang w:val="en-US" w:eastAsia="zh-CN"/>
        </w:rPr>
        <w:t>（11）项目实施期的</w:t>
      </w:r>
      <w:r>
        <w:rPr>
          <w:rFonts w:hint="eastAsia" w:ascii="宋体" w:hAnsi="宋体" w:cs="仿宋_GB2312"/>
          <w:i w:val="0"/>
          <w:iCs w:val="0"/>
          <w:caps w:val="0"/>
          <w:color w:val="333333"/>
          <w:spacing w:val="6"/>
          <w:sz w:val="30"/>
          <w:szCs w:val="30"/>
          <w:highlight w:val="none"/>
          <w:shd w:val="clear" w:fill="FFFFFF"/>
          <w:lang w:val="en-US" w:eastAsia="zh-CN"/>
        </w:rPr>
        <w:t>会计凭证、</w:t>
      </w:r>
      <w:r>
        <w:rPr>
          <w:rFonts w:hint="eastAsia" w:ascii="宋体" w:hAnsi="宋体" w:eastAsia="仿宋_GB2312" w:cs="仿宋_GB2312"/>
          <w:i w:val="0"/>
          <w:iCs w:val="0"/>
          <w:caps w:val="0"/>
          <w:color w:val="333333"/>
          <w:spacing w:val="6"/>
          <w:sz w:val="30"/>
          <w:szCs w:val="30"/>
          <w:highlight w:val="none"/>
          <w:shd w:val="clear" w:fill="FFFFFF"/>
          <w:lang w:val="en-US" w:eastAsia="zh-CN"/>
        </w:rPr>
        <w:t>相关记录、现场资料等</w:t>
      </w:r>
      <w:r>
        <w:rPr>
          <w:rFonts w:hint="eastAsia" w:ascii="宋体" w:hAnsi="宋体" w:cs="仿宋_GB2312"/>
          <w:i w:val="0"/>
          <w:iCs w:val="0"/>
          <w:caps w:val="0"/>
          <w:color w:val="333333"/>
          <w:spacing w:val="6"/>
          <w:sz w:val="30"/>
          <w:szCs w:val="30"/>
          <w:highlight w:val="none"/>
          <w:shd w:val="clear" w:fill="FFFFFF"/>
          <w:lang w:val="en-US" w:eastAsia="zh-CN"/>
        </w:rPr>
        <w:t>；</w:t>
      </w:r>
    </w:p>
    <w:p w14:paraId="600E65E0">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default" w:ascii="宋体" w:hAnsi="宋体" w:eastAsia="仿宋_GB2312" w:cs="仿宋_GB2312"/>
          <w:i w:val="0"/>
          <w:iCs w:val="0"/>
          <w:caps w:val="0"/>
          <w:color w:val="333333"/>
          <w:spacing w:val="6"/>
          <w:sz w:val="30"/>
          <w:szCs w:val="30"/>
          <w:highlight w:val="none"/>
          <w:shd w:val="clear" w:fill="FFFFFF"/>
          <w:lang w:val="en-US" w:eastAsia="zh-CN"/>
        </w:rPr>
      </w:pPr>
      <w:r>
        <w:rPr>
          <w:rFonts w:hint="eastAsia" w:ascii="宋体" w:hAnsi="宋体" w:eastAsia="仿宋_GB2312" w:cs="仿宋_GB2312"/>
          <w:i w:val="0"/>
          <w:iCs w:val="0"/>
          <w:caps w:val="0"/>
          <w:color w:val="333333"/>
          <w:spacing w:val="6"/>
          <w:sz w:val="30"/>
          <w:szCs w:val="30"/>
          <w:highlight w:val="none"/>
          <w:shd w:val="clear" w:fill="FFFFFF"/>
          <w:lang w:val="en-US" w:eastAsia="zh-CN"/>
        </w:rPr>
        <w:t>（1</w:t>
      </w:r>
      <w:r>
        <w:rPr>
          <w:rFonts w:hint="eastAsia" w:ascii="宋体" w:hAnsi="宋体" w:cs="仿宋_GB2312"/>
          <w:i w:val="0"/>
          <w:iCs w:val="0"/>
          <w:caps w:val="0"/>
          <w:color w:val="333333"/>
          <w:spacing w:val="6"/>
          <w:sz w:val="30"/>
          <w:szCs w:val="30"/>
          <w:highlight w:val="none"/>
          <w:shd w:val="clear" w:fill="FFFFFF"/>
          <w:lang w:val="en-US" w:eastAsia="zh-CN"/>
        </w:rPr>
        <w:t>2</w:t>
      </w:r>
      <w:r>
        <w:rPr>
          <w:rFonts w:hint="eastAsia" w:ascii="宋体" w:hAnsi="宋体" w:eastAsia="仿宋_GB2312" w:cs="仿宋_GB2312"/>
          <w:i w:val="0"/>
          <w:iCs w:val="0"/>
          <w:caps w:val="0"/>
          <w:color w:val="333333"/>
          <w:spacing w:val="6"/>
          <w:sz w:val="30"/>
          <w:szCs w:val="30"/>
          <w:highlight w:val="none"/>
          <w:shd w:val="clear" w:fill="FFFFFF"/>
          <w:lang w:val="en-US" w:eastAsia="zh-CN"/>
        </w:rPr>
        <w:t>）相关材料的说明</w:t>
      </w:r>
      <w:r>
        <w:rPr>
          <w:rFonts w:hint="eastAsia" w:ascii="宋体" w:hAnsi="宋体" w:cs="仿宋_GB2312"/>
          <w:i w:val="0"/>
          <w:iCs w:val="0"/>
          <w:caps w:val="0"/>
          <w:color w:val="333333"/>
          <w:spacing w:val="6"/>
          <w:sz w:val="30"/>
          <w:szCs w:val="30"/>
          <w:highlight w:val="none"/>
          <w:shd w:val="clear" w:fill="FFFFFF"/>
          <w:lang w:val="en-US" w:eastAsia="zh-CN"/>
        </w:rPr>
        <w:t>及其他项目资料。</w:t>
      </w:r>
    </w:p>
    <w:p w14:paraId="29D51497">
      <w:pPr>
        <w:pStyle w:val="2"/>
        <w:bidi w:val="0"/>
        <w:rPr>
          <w:rFonts w:hint="eastAsia" w:ascii="宋体" w:hAnsi="宋体"/>
          <w:lang w:val="en-US" w:eastAsia="zh-CN"/>
        </w:rPr>
      </w:pPr>
      <w:bookmarkStart w:id="45" w:name="_Toc18767"/>
      <w:r>
        <w:rPr>
          <w:rFonts w:hint="eastAsia" w:ascii="宋体" w:hAnsi="宋体"/>
          <w:lang w:eastAsia="zh-CN"/>
        </w:rPr>
        <w:t>（</w:t>
      </w:r>
      <w:r>
        <w:rPr>
          <w:rFonts w:hint="eastAsia" w:ascii="宋体" w:hAnsi="宋体"/>
          <w:lang w:val="en-US" w:eastAsia="zh-CN"/>
        </w:rPr>
        <w:t>三</w:t>
      </w:r>
      <w:r>
        <w:rPr>
          <w:rFonts w:hint="eastAsia" w:ascii="宋体" w:hAnsi="宋体"/>
          <w:lang w:eastAsia="zh-CN"/>
        </w:rPr>
        <w:t>）</w:t>
      </w:r>
      <w:r>
        <w:rPr>
          <w:rFonts w:hint="eastAsia" w:ascii="宋体" w:hAnsi="宋体"/>
          <w:lang w:val="en-US" w:eastAsia="zh-CN"/>
        </w:rPr>
        <w:t>绩效评价原则</w:t>
      </w:r>
      <w:bookmarkEnd w:id="45"/>
    </w:p>
    <w:p w14:paraId="410565E4">
      <w:pPr>
        <w:pStyle w:val="4"/>
        <w:bidi w:val="0"/>
        <w:rPr>
          <w:rFonts w:hint="eastAsia" w:ascii="宋体" w:hAnsi="宋体"/>
          <w:lang w:val="en-US" w:eastAsia="zh-CN"/>
        </w:rPr>
      </w:pPr>
      <w:bookmarkStart w:id="46" w:name="_Toc14507"/>
      <w:bookmarkStart w:id="47" w:name="_Toc19161"/>
      <w:bookmarkStart w:id="48" w:name="_Toc1889"/>
      <w:r>
        <w:rPr>
          <w:rFonts w:hint="eastAsia" w:ascii="宋体" w:hAnsi="宋体"/>
          <w:lang w:val="en-US" w:eastAsia="zh-CN"/>
        </w:rPr>
        <w:t>1.科学规范</w:t>
      </w:r>
      <w:bookmarkEnd w:id="46"/>
      <w:bookmarkEnd w:id="47"/>
      <w:bookmarkEnd w:id="48"/>
    </w:p>
    <w:p w14:paraId="3FB3A6AC">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b w:val="0"/>
          <w:bCs/>
          <w:i w:val="0"/>
          <w:iCs w:val="0"/>
          <w:caps w:val="0"/>
          <w:color w:val="333333"/>
          <w:spacing w:val="6"/>
          <w:sz w:val="30"/>
          <w:szCs w:val="30"/>
          <w:highlight w:val="none"/>
          <w:shd w:val="clear" w:fill="FFFFFF"/>
          <w:lang w:val="en-US" w:eastAsia="zh-CN"/>
        </w:rPr>
      </w:pPr>
      <w:r>
        <w:rPr>
          <w:rFonts w:hint="eastAsia" w:ascii="宋体" w:hAnsi="宋体" w:eastAsia="仿宋_GB2312" w:cs="仿宋_GB2312"/>
          <w:b w:val="0"/>
          <w:bCs/>
          <w:i w:val="0"/>
          <w:iCs w:val="0"/>
          <w:caps w:val="0"/>
          <w:color w:val="333333"/>
          <w:spacing w:val="6"/>
          <w:sz w:val="30"/>
          <w:szCs w:val="30"/>
          <w:highlight w:val="none"/>
          <w:shd w:val="clear" w:fill="FFFFFF"/>
          <w:lang w:val="en-US" w:eastAsia="zh-CN"/>
        </w:rPr>
        <w:t>专项债券项目资金绩效实行全生命周期管理。坚持</w:t>
      </w:r>
      <w:r>
        <w:rPr>
          <w:rFonts w:hint="eastAsia" w:ascii="宋体" w:hAnsi="宋体" w:cs="仿宋_GB2312"/>
          <w:b w:val="0"/>
          <w:bCs/>
          <w:i w:val="0"/>
          <w:iCs w:val="0"/>
          <w:caps w:val="0"/>
          <w:color w:val="333333"/>
          <w:spacing w:val="6"/>
          <w:sz w:val="30"/>
          <w:szCs w:val="30"/>
          <w:highlight w:val="none"/>
          <w:shd w:val="clear" w:fill="FFFFFF"/>
          <w:lang w:val="en-US" w:eastAsia="zh-CN"/>
        </w:rPr>
        <w:t>“</w:t>
      </w:r>
      <w:r>
        <w:rPr>
          <w:rFonts w:hint="eastAsia" w:ascii="宋体" w:hAnsi="宋体" w:eastAsia="仿宋_GB2312" w:cs="仿宋_GB2312"/>
          <w:b w:val="0"/>
          <w:bCs/>
          <w:i w:val="0"/>
          <w:iCs w:val="0"/>
          <w:caps w:val="0"/>
          <w:color w:val="333333"/>
          <w:spacing w:val="6"/>
          <w:sz w:val="30"/>
          <w:szCs w:val="30"/>
          <w:highlight w:val="none"/>
          <w:shd w:val="clear" w:fill="FFFFFF"/>
          <w:lang w:val="en-US" w:eastAsia="zh-CN"/>
        </w:rPr>
        <w:t>举债必问效、无效必问责</w:t>
      </w:r>
      <w:r>
        <w:rPr>
          <w:rFonts w:hint="eastAsia" w:ascii="宋体" w:hAnsi="宋体" w:cs="仿宋_GB2312"/>
          <w:b w:val="0"/>
          <w:bCs/>
          <w:i w:val="0"/>
          <w:iCs w:val="0"/>
          <w:caps w:val="0"/>
          <w:color w:val="333333"/>
          <w:spacing w:val="6"/>
          <w:sz w:val="30"/>
          <w:szCs w:val="30"/>
          <w:highlight w:val="none"/>
          <w:shd w:val="clear" w:fill="FFFFFF"/>
          <w:lang w:val="en-US" w:eastAsia="zh-CN"/>
        </w:rPr>
        <w:t>”</w:t>
      </w:r>
      <w:r>
        <w:rPr>
          <w:rFonts w:hint="eastAsia" w:ascii="宋体" w:hAnsi="宋体" w:eastAsia="仿宋_GB2312" w:cs="仿宋_GB2312"/>
          <w:b w:val="0"/>
          <w:bCs/>
          <w:i w:val="0"/>
          <w:iCs w:val="0"/>
          <w:caps w:val="0"/>
          <w:color w:val="333333"/>
          <w:spacing w:val="6"/>
          <w:sz w:val="30"/>
          <w:szCs w:val="30"/>
          <w:highlight w:val="none"/>
          <w:shd w:val="clear" w:fill="FFFFFF"/>
          <w:lang w:val="en-US" w:eastAsia="zh-CN"/>
        </w:rPr>
        <w:t>，遵循项目支出绩效管理的基本要求，注重融资收益平衡与偿债风险。建立规范的工作流程和指标体系，推动绩效管理工作有序开展。</w:t>
      </w:r>
    </w:p>
    <w:p w14:paraId="0C00DA89">
      <w:pPr>
        <w:pStyle w:val="4"/>
        <w:bidi w:val="0"/>
        <w:rPr>
          <w:rFonts w:hint="eastAsia" w:ascii="宋体" w:hAnsi="宋体"/>
          <w:lang w:val="en-US" w:eastAsia="zh-CN"/>
        </w:rPr>
      </w:pPr>
      <w:bookmarkStart w:id="49" w:name="_Toc7686"/>
      <w:bookmarkStart w:id="50" w:name="_Toc32592"/>
      <w:bookmarkStart w:id="51" w:name="_Toc17372"/>
      <w:r>
        <w:rPr>
          <w:rFonts w:hint="eastAsia" w:ascii="宋体" w:hAnsi="宋体"/>
          <w:lang w:val="en-US" w:eastAsia="zh-CN"/>
        </w:rPr>
        <w:t>2.协同配合</w:t>
      </w:r>
      <w:bookmarkEnd w:id="49"/>
      <w:bookmarkEnd w:id="50"/>
      <w:bookmarkEnd w:id="51"/>
    </w:p>
    <w:p w14:paraId="45124088">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b w:val="0"/>
          <w:bCs/>
          <w:i w:val="0"/>
          <w:iCs w:val="0"/>
          <w:caps w:val="0"/>
          <w:color w:val="333333"/>
          <w:spacing w:val="6"/>
          <w:sz w:val="30"/>
          <w:szCs w:val="30"/>
          <w:highlight w:val="none"/>
          <w:shd w:val="clear" w:fill="FFFFFF"/>
          <w:lang w:val="en-US" w:eastAsia="zh-CN"/>
        </w:rPr>
      </w:pPr>
      <w:r>
        <w:rPr>
          <w:rFonts w:hint="eastAsia" w:ascii="宋体" w:hAnsi="宋体" w:eastAsia="仿宋_GB2312" w:cs="仿宋_GB2312"/>
          <w:b w:val="0"/>
          <w:bCs/>
          <w:i w:val="0"/>
          <w:iCs w:val="0"/>
          <w:caps w:val="0"/>
          <w:color w:val="333333"/>
          <w:spacing w:val="6"/>
          <w:sz w:val="30"/>
          <w:szCs w:val="30"/>
          <w:highlight w:val="none"/>
          <w:shd w:val="clear" w:fill="FFFFFF"/>
          <w:lang w:val="en-US" w:eastAsia="zh-CN"/>
        </w:rPr>
        <w:t>各级财政部门牵头组织专项债券项目资金绩效管理工作，督促指导项目主管部门和项目单位具体实施各项管理工作。上级财政部门加强工作指导和检查。</w:t>
      </w:r>
    </w:p>
    <w:p w14:paraId="71E4A661">
      <w:pPr>
        <w:pStyle w:val="4"/>
        <w:bidi w:val="0"/>
        <w:rPr>
          <w:rFonts w:hint="eastAsia" w:ascii="宋体" w:hAnsi="宋体"/>
          <w:lang w:val="en-US" w:eastAsia="zh-CN"/>
        </w:rPr>
      </w:pPr>
      <w:bookmarkStart w:id="52" w:name="_Toc20206"/>
      <w:bookmarkStart w:id="53" w:name="_Toc30498"/>
      <w:bookmarkStart w:id="54" w:name="_Toc28493"/>
      <w:r>
        <w:rPr>
          <w:rFonts w:hint="eastAsia" w:ascii="宋体" w:hAnsi="宋体"/>
          <w:lang w:val="en-US" w:eastAsia="zh-CN"/>
        </w:rPr>
        <w:t>3.公开透明</w:t>
      </w:r>
      <w:bookmarkEnd w:id="52"/>
      <w:bookmarkEnd w:id="53"/>
      <w:bookmarkEnd w:id="54"/>
    </w:p>
    <w:p w14:paraId="248AE96F">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b w:val="0"/>
          <w:bCs/>
          <w:i w:val="0"/>
          <w:iCs w:val="0"/>
          <w:caps w:val="0"/>
          <w:color w:val="333333"/>
          <w:spacing w:val="6"/>
          <w:sz w:val="30"/>
          <w:szCs w:val="30"/>
          <w:highlight w:val="none"/>
          <w:shd w:val="clear" w:fill="FFFFFF"/>
          <w:lang w:val="en-US" w:eastAsia="zh-CN"/>
        </w:rPr>
      </w:pPr>
      <w:r>
        <w:rPr>
          <w:rFonts w:hint="eastAsia" w:ascii="宋体" w:hAnsi="宋体" w:eastAsia="仿宋_GB2312" w:cs="仿宋_GB2312"/>
          <w:b w:val="0"/>
          <w:bCs/>
          <w:i w:val="0"/>
          <w:iCs w:val="0"/>
          <w:caps w:val="0"/>
          <w:color w:val="333333"/>
          <w:spacing w:val="6"/>
          <w:sz w:val="30"/>
          <w:szCs w:val="30"/>
          <w:highlight w:val="none"/>
          <w:shd w:val="clear" w:fill="FFFFFF"/>
          <w:lang w:val="en-US" w:eastAsia="zh-CN"/>
        </w:rPr>
        <w:t>绩效信息是专项债券项目信息的重要组成部分，应当依法依规公开，自觉接受社会监督，通过公开推动提高专项资金使用绩效。</w:t>
      </w:r>
    </w:p>
    <w:p w14:paraId="5D2DB62E">
      <w:pPr>
        <w:pStyle w:val="4"/>
        <w:bidi w:val="0"/>
        <w:rPr>
          <w:rFonts w:hint="eastAsia" w:ascii="宋体" w:hAnsi="宋体"/>
          <w:lang w:val="en-US" w:eastAsia="zh-CN"/>
        </w:rPr>
      </w:pPr>
      <w:bookmarkStart w:id="55" w:name="_Toc19140"/>
      <w:bookmarkStart w:id="56" w:name="_Toc20116"/>
      <w:bookmarkStart w:id="57" w:name="_Toc21208"/>
      <w:r>
        <w:rPr>
          <w:rFonts w:hint="eastAsia" w:ascii="宋体" w:hAnsi="宋体"/>
          <w:lang w:val="en-US" w:eastAsia="zh-CN"/>
        </w:rPr>
        <w:t>4.强化运用</w:t>
      </w:r>
      <w:bookmarkEnd w:id="55"/>
      <w:bookmarkEnd w:id="56"/>
      <w:bookmarkEnd w:id="57"/>
    </w:p>
    <w:p w14:paraId="3E6B4A5A">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b w:val="0"/>
          <w:bCs/>
          <w:i w:val="0"/>
          <w:iCs w:val="0"/>
          <w:caps w:val="0"/>
          <w:color w:val="333333"/>
          <w:spacing w:val="6"/>
          <w:sz w:val="30"/>
          <w:szCs w:val="30"/>
          <w:highlight w:val="none"/>
          <w:shd w:val="clear" w:fill="FFFFFF"/>
          <w:lang w:val="en-US" w:eastAsia="zh-CN"/>
        </w:rPr>
      </w:pPr>
      <w:r>
        <w:rPr>
          <w:rFonts w:hint="eastAsia" w:ascii="宋体" w:hAnsi="宋体" w:eastAsia="仿宋_GB2312" w:cs="仿宋_GB2312"/>
          <w:b w:val="0"/>
          <w:bCs/>
          <w:i w:val="0"/>
          <w:iCs w:val="0"/>
          <w:caps w:val="0"/>
          <w:color w:val="333333"/>
          <w:spacing w:val="6"/>
          <w:sz w:val="30"/>
          <w:szCs w:val="30"/>
          <w:highlight w:val="none"/>
          <w:shd w:val="clear" w:fill="FFFFFF"/>
          <w:lang w:val="en-US" w:eastAsia="zh-CN"/>
        </w:rPr>
        <w:t>突出绩效管理结果的激励约束作用，将专项债券项目资金绩效管理结果作为专项债券额度分配的重要测算因素，并与有关管理措施和政策试点等挂钩。</w:t>
      </w:r>
    </w:p>
    <w:p w14:paraId="740F7494">
      <w:pPr>
        <w:pStyle w:val="2"/>
        <w:bidi w:val="0"/>
        <w:rPr>
          <w:rFonts w:hint="eastAsia" w:ascii="宋体" w:hAnsi="宋体"/>
        </w:rPr>
      </w:pPr>
      <w:bookmarkStart w:id="58" w:name="_Toc25848"/>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hint="eastAsia" w:ascii="宋体" w:hAnsi="宋体"/>
        </w:rPr>
        <w:t>评价指标体系、评价方法、评价标准</w:t>
      </w:r>
      <w:bookmarkEnd w:id="58"/>
    </w:p>
    <w:p w14:paraId="5FC4C77F">
      <w:pPr>
        <w:pStyle w:val="4"/>
        <w:bidi w:val="0"/>
        <w:rPr>
          <w:rFonts w:hint="eastAsia" w:ascii="宋体" w:hAnsi="宋体"/>
          <w:lang w:val="en-US" w:eastAsia="zh-CN"/>
        </w:rPr>
      </w:pPr>
      <w:bookmarkStart w:id="59" w:name="_Toc15226"/>
      <w:bookmarkStart w:id="60" w:name="_Toc2465"/>
      <w:bookmarkStart w:id="61" w:name="_Toc15531"/>
      <w:r>
        <w:rPr>
          <w:rFonts w:hint="eastAsia" w:ascii="宋体" w:hAnsi="宋体"/>
          <w:lang w:val="en-US" w:eastAsia="zh-CN"/>
        </w:rPr>
        <w:t>1.评价指标体系</w:t>
      </w:r>
      <w:bookmarkEnd w:id="59"/>
      <w:bookmarkEnd w:id="60"/>
      <w:bookmarkEnd w:id="61"/>
    </w:p>
    <w:p w14:paraId="6FA4553C">
      <w:pPr>
        <w:keepNext w:val="0"/>
        <w:keepLines w:val="0"/>
        <w:pageBreakBefore w:val="0"/>
        <w:widowControl w:val="0"/>
        <w:wordWrap/>
        <w:overflowPunct/>
        <w:topLinePunct w:val="0"/>
        <w:bidi w:val="0"/>
        <w:spacing w:line="360" w:lineRule="auto"/>
        <w:ind w:left="0" w:right="0" w:firstLine="568" w:firstLineChars="200"/>
        <w:jc w:val="left"/>
        <w:textAlignment w:val="baseline"/>
        <w:rPr>
          <w:rFonts w:hint="eastAsia" w:ascii="宋体" w:hAnsi="宋体" w:eastAsia="仿宋_GB2312" w:cs="仿宋_GB2312"/>
          <w:b w:val="0"/>
          <w:bCs/>
          <w:spacing w:val="-8"/>
          <w:sz w:val="30"/>
          <w:szCs w:val="30"/>
          <w:lang w:val="en-US" w:eastAsia="zh-CN"/>
        </w:rPr>
      </w:pPr>
      <w:r>
        <w:rPr>
          <w:rFonts w:hint="eastAsia" w:ascii="宋体" w:hAnsi="宋体" w:eastAsia="仿宋_GB2312" w:cs="仿宋_GB2312"/>
          <w:b w:val="0"/>
          <w:bCs/>
          <w:spacing w:val="-8"/>
          <w:sz w:val="30"/>
          <w:szCs w:val="30"/>
          <w:lang w:val="en-US" w:eastAsia="zh-CN"/>
        </w:rPr>
        <w:t>绩效评价指标体系包括项目决策、项目管理、项目产出、项目效益四类指标，共计100分。</w:t>
      </w:r>
    </w:p>
    <w:p w14:paraId="21BB2155">
      <w:pPr>
        <w:keepNext w:val="0"/>
        <w:keepLines w:val="0"/>
        <w:pageBreakBefore w:val="0"/>
        <w:widowControl w:val="0"/>
        <w:wordWrap/>
        <w:overflowPunct/>
        <w:topLinePunct w:val="0"/>
        <w:bidi w:val="0"/>
        <w:spacing w:line="360" w:lineRule="auto"/>
        <w:ind w:left="0" w:right="0" w:firstLine="568" w:firstLineChars="200"/>
        <w:jc w:val="left"/>
        <w:textAlignment w:val="baseline"/>
        <w:rPr>
          <w:rFonts w:ascii="宋体" w:hAnsi="宋体"/>
          <w:sz w:val="21"/>
        </w:rPr>
      </w:pPr>
      <w:r>
        <w:rPr>
          <w:rFonts w:hint="eastAsia" w:ascii="宋体" w:hAnsi="宋体" w:eastAsia="仿宋_GB2312" w:cs="仿宋_GB2312"/>
          <w:spacing w:val="-8"/>
          <w:sz w:val="30"/>
          <w:szCs w:val="30"/>
          <w:lang w:val="en-US" w:eastAsia="zh-CN"/>
        </w:rPr>
        <w:t>具体绩效指标体系如表1所示。</w:t>
      </w:r>
    </w:p>
    <w:tbl>
      <w:tblPr>
        <w:tblStyle w:val="1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23"/>
        <w:gridCol w:w="5427"/>
        <w:gridCol w:w="1772"/>
      </w:tblGrid>
      <w:tr w14:paraId="6036D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blHeader/>
        </w:trPr>
        <w:tc>
          <w:tcPr>
            <w:tcW w:w="0" w:type="auto"/>
            <w:gridSpan w:val="3"/>
            <w:tcBorders>
              <w:top w:val="nil"/>
              <w:left w:val="nil"/>
              <w:bottom w:val="single" w:color="000000" w:sz="8" w:space="0"/>
              <w:right w:val="nil"/>
            </w:tcBorders>
            <w:shd w:val="clear" w:color="auto" w:fill="auto"/>
            <w:vAlign w:val="bottom"/>
          </w:tcPr>
          <w:p w14:paraId="428DA42D">
            <w:pPr>
              <w:keepNext w:val="0"/>
              <w:keepLines w:val="0"/>
              <w:widowControl/>
              <w:suppressLineNumbers w:val="0"/>
              <w:jc w:val="center"/>
              <w:textAlignment w:val="bottom"/>
              <w:rPr>
                <w:rFonts w:hint="eastAsia" w:ascii="宋体" w:hAnsi="宋体" w:eastAsia="宋体" w:cs="宋体"/>
                <w:b/>
                <w:bCs/>
                <w:i w:val="0"/>
                <w:iCs w:val="0"/>
                <w:color w:val="000000"/>
                <w:sz w:val="18"/>
                <w:szCs w:val="18"/>
                <w:u w:val="none"/>
              </w:rPr>
            </w:pPr>
            <w:bookmarkStart w:id="62" w:name="_Toc12450"/>
            <w:bookmarkStart w:id="63" w:name="_Toc2869"/>
            <w:bookmarkStart w:id="64" w:name="_Toc11354"/>
            <w:r>
              <w:rPr>
                <w:rFonts w:hint="eastAsia" w:ascii="宋体" w:hAnsi="宋体" w:eastAsia="宋体" w:cs="宋体"/>
                <w:b/>
                <w:bCs/>
                <w:i w:val="0"/>
                <w:iCs w:val="0"/>
                <w:snapToGrid w:val="0"/>
                <w:color w:val="000000"/>
                <w:kern w:val="0"/>
                <w:sz w:val="18"/>
                <w:szCs w:val="18"/>
                <w:u w:val="none"/>
                <w:lang w:val="en-US" w:eastAsia="zh-CN" w:bidi="ar"/>
              </w:rPr>
              <w:t>表1－绩效指标体系</w:t>
            </w:r>
          </w:p>
        </w:tc>
      </w:tr>
      <w:tr w14:paraId="098C6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blHeader/>
        </w:trPr>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E767D">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ascii="Arial Narrow" w:hAnsi="Arial Narrow" w:eastAsia="Arial Narrow" w:cs="Arial Narrow"/>
                <w:b/>
                <w:bCs/>
                <w:i w:val="0"/>
                <w:iCs w:val="0"/>
                <w:color w:val="000000"/>
                <w:sz w:val="20"/>
                <w:szCs w:val="20"/>
                <w:u w:val="none"/>
              </w:rPr>
            </w:pPr>
            <w:r>
              <w:rPr>
                <w:rStyle w:val="22"/>
                <w:snapToGrid w:val="0"/>
                <w:color w:val="000000"/>
                <w:lang w:val="en-US" w:eastAsia="zh-CN" w:bidi="ar"/>
              </w:rPr>
              <w:t>一级指标</w:t>
            </w:r>
          </w:p>
        </w:tc>
        <w:tc>
          <w:tcPr>
            <w:tcW w:w="5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B298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b/>
                <w:bCs/>
                <w:i w:val="0"/>
                <w:iCs w:val="0"/>
                <w:color w:val="000000"/>
                <w:sz w:val="20"/>
                <w:szCs w:val="20"/>
                <w:u w:val="none"/>
              </w:rPr>
            </w:pPr>
            <w:r>
              <w:rPr>
                <w:rStyle w:val="22"/>
                <w:snapToGrid w:val="0"/>
                <w:color w:val="000000"/>
                <w:lang w:val="en-US" w:eastAsia="zh-CN" w:bidi="ar"/>
              </w:rPr>
              <w:t>二级指标</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5924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b/>
                <w:bCs/>
                <w:i w:val="0"/>
                <w:iCs w:val="0"/>
                <w:color w:val="000000"/>
                <w:sz w:val="20"/>
                <w:szCs w:val="20"/>
                <w:u w:val="none"/>
              </w:rPr>
            </w:pPr>
            <w:r>
              <w:rPr>
                <w:rStyle w:val="22"/>
                <w:snapToGrid w:val="0"/>
                <w:color w:val="000000"/>
                <w:lang w:val="en-US" w:eastAsia="zh-CN" w:bidi="ar"/>
              </w:rPr>
              <w:t>三级指标</w:t>
            </w:r>
          </w:p>
        </w:tc>
      </w:tr>
      <w:tr w14:paraId="30410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3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2FEE6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决策</w:t>
            </w:r>
          </w:p>
        </w:tc>
        <w:tc>
          <w:tcPr>
            <w:tcW w:w="54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E8E49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新增地方政府专项债券项目申报的政策依据与程序规范性</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227F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立项依据充分性</w:t>
            </w:r>
          </w:p>
        </w:tc>
      </w:tr>
      <w:tr w14:paraId="46DB2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B1F3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5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DB4D2">
            <w:pPr>
              <w:keepNext w:val="0"/>
              <w:keepLines w:val="0"/>
              <w:pageBreakBefore w:val="0"/>
              <w:widowControl/>
              <w:kinsoku w:val="0"/>
              <w:wordWrap/>
              <w:overflowPunct/>
              <w:topLinePunct w:val="0"/>
              <w:autoSpaceDE w:val="0"/>
              <w:autoSpaceDN w:val="0"/>
              <w:bidi w:val="0"/>
              <w:adjustRightInd w:val="0"/>
              <w:snapToGrid w:val="0"/>
              <w:spacing w:line="240" w:lineRule="auto"/>
              <w:jc w:val="center"/>
              <w:rPr>
                <w:rFonts w:hint="default" w:ascii="Arial Narrow" w:hAnsi="Arial Narrow" w:eastAsia="Arial Narrow" w:cs="Arial Narrow"/>
                <w:i w:val="0"/>
                <w:iCs w:val="0"/>
                <w:color w:val="000000"/>
                <w:sz w:val="18"/>
                <w:szCs w:val="18"/>
                <w:u w:val="none"/>
              </w:rPr>
            </w:pP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114C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立项程序规范性</w:t>
            </w:r>
          </w:p>
        </w:tc>
      </w:tr>
      <w:tr w14:paraId="70F50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7BD72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54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428BD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left="0" w:leftChars="0"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新增地方政府专项债券绩效目标设定的合理性与指标明确性</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A1804">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绩效目标合理性</w:t>
            </w:r>
          </w:p>
        </w:tc>
      </w:tr>
      <w:tr w14:paraId="4A4E6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F197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5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4A4A3E">
            <w:pPr>
              <w:keepNext w:val="0"/>
              <w:keepLines w:val="0"/>
              <w:pageBreakBefore w:val="0"/>
              <w:widowControl/>
              <w:kinsoku w:val="0"/>
              <w:wordWrap/>
              <w:overflowPunct/>
              <w:topLinePunct w:val="0"/>
              <w:autoSpaceDE w:val="0"/>
              <w:autoSpaceDN w:val="0"/>
              <w:bidi w:val="0"/>
              <w:adjustRightInd w:val="0"/>
              <w:snapToGrid w:val="0"/>
              <w:spacing w:line="240" w:lineRule="auto"/>
              <w:jc w:val="center"/>
              <w:rPr>
                <w:rFonts w:hint="default" w:ascii="Arial Narrow" w:hAnsi="Arial Narrow" w:eastAsia="Arial Narrow" w:cs="Arial Narrow"/>
                <w:i w:val="0"/>
                <w:iCs w:val="0"/>
                <w:color w:val="000000"/>
                <w:sz w:val="18"/>
                <w:szCs w:val="18"/>
                <w:u w:val="none"/>
              </w:rPr>
            </w:pP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0C2C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绩效指标明确性</w:t>
            </w:r>
          </w:p>
        </w:tc>
      </w:tr>
      <w:tr w14:paraId="607A4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5A75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54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DEC82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编制新增地方政府专项债券资金平衡方案科学性和资金分配的合理性</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E52B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平衡方案科学性</w:t>
            </w:r>
          </w:p>
        </w:tc>
      </w:tr>
      <w:tr w14:paraId="313D9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E2DB68">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5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4F496">
            <w:pPr>
              <w:keepNext w:val="0"/>
              <w:keepLines w:val="0"/>
              <w:pageBreakBefore w:val="0"/>
              <w:widowControl/>
              <w:kinsoku w:val="0"/>
              <w:wordWrap/>
              <w:overflowPunct/>
              <w:topLinePunct w:val="0"/>
              <w:autoSpaceDE w:val="0"/>
              <w:autoSpaceDN w:val="0"/>
              <w:bidi w:val="0"/>
              <w:adjustRightInd w:val="0"/>
              <w:snapToGrid w:val="0"/>
              <w:spacing w:line="240" w:lineRule="auto"/>
              <w:jc w:val="center"/>
              <w:rPr>
                <w:rFonts w:hint="default" w:ascii="Arial Narrow" w:hAnsi="Arial Narrow" w:eastAsia="Arial Narrow" w:cs="Arial Narrow"/>
                <w:i w:val="0"/>
                <w:iCs w:val="0"/>
                <w:color w:val="000000"/>
                <w:sz w:val="18"/>
                <w:szCs w:val="18"/>
                <w:u w:val="none"/>
              </w:rPr>
            </w:pP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5A2F0">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left="0" w:leftChars="0"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资金分配的合理性</w:t>
            </w:r>
          </w:p>
        </w:tc>
      </w:tr>
      <w:tr w14:paraId="075AD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3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F1593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管理</w:t>
            </w:r>
          </w:p>
        </w:tc>
        <w:tc>
          <w:tcPr>
            <w:tcW w:w="54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CED463">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left="0" w:leftChars="0"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新增地方政府专项债券资金管理制度健全性及组织实施有效性</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9C16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管理制度健全性</w:t>
            </w:r>
          </w:p>
        </w:tc>
      </w:tr>
      <w:tr w14:paraId="1130B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A71BA">
            <w:pPr>
              <w:jc w:val="center"/>
              <w:rPr>
                <w:rFonts w:hint="eastAsia" w:ascii="宋体" w:hAnsi="宋体" w:eastAsia="宋体" w:cs="宋体"/>
                <w:i w:val="0"/>
                <w:iCs w:val="0"/>
                <w:color w:val="000000"/>
                <w:sz w:val="18"/>
                <w:szCs w:val="18"/>
                <w:u w:val="none"/>
              </w:rPr>
            </w:pPr>
          </w:p>
        </w:tc>
        <w:tc>
          <w:tcPr>
            <w:tcW w:w="5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63753">
            <w:pPr>
              <w:keepNext w:val="0"/>
              <w:keepLines w:val="0"/>
              <w:pageBreakBefore w:val="0"/>
              <w:widowControl/>
              <w:kinsoku w:val="0"/>
              <w:wordWrap/>
              <w:overflowPunct/>
              <w:topLinePunct w:val="0"/>
              <w:autoSpaceDE w:val="0"/>
              <w:autoSpaceDN w:val="0"/>
              <w:bidi w:val="0"/>
              <w:adjustRightInd w:val="0"/>
              <w:snapToGrid w:val="0"/>
              <w:spacing w:line="240" w:lineRule="auto"/>
              <w:jc w:val="center"/>
              <w:rPr>
                <w:rFonts w:hint="default" w:ascii="Arial Narrow" w:hAnsi="Arial Narrow" w:eastAsia="Arial Narrow" w:cs="Arial Narrow"/>
                <w:i w:val="0"/>
                <w:iCs w:val="0"/>
                <w:color w:val="000000"/>
                <w:sz w:val="18"/>
                <w:szCs w:val="18"/>
                <w:u w:val="none"/>
              </w:rPr>
            </w:pP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2468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组织实施有效性</w:t>
            </w:r>
          </w:p>
        </w:tc>
      </w:tr>
      <w:tr w14:paraId="7AE3B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42F68">
            <w:pPr>
              <w:jc w:val="center"/>
              <w:rPr>
                <w:rFonts w:hint="eastAsia" w:ascii="宋体" w:hAnsi="宋体" w:eastAsia="宋体" w:cs="宋体"/>
                <w:i w:val="0"/>
                <w:iCs w:val="0"/>
                <w:color w:val="000000"/>
                <w:sz w:val="18"/>
                <w:szCs w:val="18"/>
                <w:u w:val="none"/>
              </w:rPr>
            </w:pPr>
          </w:p>
        </w:tc>
        <w:tc>
          <w:tcPr>
            <w:tcW w:w="54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25DE2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left="0" w:leftChars="0"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新增地方政府专项债券资金使用情况</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203B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资金使用合规性</w:t>
            </w:r>
          </w:p>
        </w:tc>
      </w:tr>
      <w:tr w14:paraId="05E83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E4F3C">
            <w:pPr>
              <w:jc w:val="center"/>
              <w:rPr>
                <w:rFonts w:hint="eastAsia" w:ascii="宋体" w:hAnsi="宋体" w:eastAsia="宋体" w:cs="宋体"/>
                <w:i w:val="0"/>
                <w:iCs w:val="0"/>
                <w:color w:val="000000"/>
                <w:sz w:val="18"/>
                <w:szCs w:val="18"/>
                <w:u w:val="none"/>
              </w:rPr>
            </w:pPr>
          </w:p>
        </w:tc>
        <w:tc>
          <w:tcPr>
            <w:tcW w:w="5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E44DA">
            <w:pPr>
              <w:keepNext w:val="0"/>
              <w:keepLines w:val="0"/>
              <w:pageBreakBefore w:val="0"/>
              <w:widowControl/>
              <w:kinsoku w:val="0"/>
              <w:wordWrap/>
              <w:overflowPunct/>
              <w:topLinePunct w:val="0"/>
              <w:autoSpaceDE w:val="0"/>
              <w:autoSpaceDN w:val="0"/>
              <w:bidi w:val="0"/>
              <w:adjustRightInd w:val="0"/>
              <w:snapToGrid w:val="0"/>
              <w:spacing w:line="240" w:lineRule="auto"/>
              <w:jc w:val="center"/>
              <w:rPr>
                <w:rFonts w:hint="default" w:ascii="Arial Narrow" w:hAnsi="Arial Narrow" w:eastAsia="Arial Narrow" w:cs="Arial Narrow"/>
                <w:i w:val="0"/>
                <w:iCs w:val="0"/>
                <w:color w:val="000000"/>
                <w:sz w:val="18"/>
                <w:szCs w:val="18"/>
                <w:u w:val="none"/>
              </w:rPr>
            </w:pP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69B3B">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资金到位率</w:t>
            </w:r>
          </w:p>
        </w:tc>
      </w:tr>
      <w:tr w14:paraId="442B8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CB10A">
            <w:pPr>
              <w:jc w:val="center"/>
              <w:rPr>
                <w:rFonts w:hint="eastAsia" w:ascii="宋体" w:hAnsi="宋体" w:eastAsia="宋体" w:cs="宋体"/>
                <w:i w:val="0"/>
                <w:iCs w:val="0"/>
                <w:color w:val="000000"/>
                <w:sz w:val="18"/>
                <w:szCs w:val="18"/>
                <w:u w:val="none"/>
              </w:rPr>
            </w:pPr>
          </w:p>
        </w:tc>
        <w:tc>
          <w:tcPr>
            <w:tcW w:w="5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BDC2A">
            <w:pPr>
              <w:keepNext w:val="0"/>
              <w:keepLines w:val="0"/>
              <w:pageBreakBefore w:val="0"/>
              <w:widowControl/>
              <w:kinsoku w:val="0"/>
              <w:wordWrap/>
              <w:overflowPunct/>
              <w:topLinePunct w:val="0"/>
              <w:autoSpaceDE w:val="0"/>
              <w:autoSpaceDN w:val="0"/>
              <w:bidi w:val="0"/>
              <w:adjustRightInd w:val="0"/>
              <w:snapToGrid w:val="0"/>
              <w:spacing w:line="240" w:lineRule="auto"/>
              <w:jc w:val="center"/>
              <w:rPr>
                <w:rFonts w:hint="default" w:ascii="Arial Narrow" w:hAnsi="Arial Narrow" w:eastAsia="Arial Narrow" w:cs="Arial Narrow"/>
                <w:i w:val="0"/>
                <w:iCs w:val="0"/>
                <w:color w:val="000000"/>
                <w:sz w:val="18"/>
                <w:szCs w:val="18"/>
                <w:u w:val="none"/>
              </w:rPr>
            </w:pP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D177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rFonts w:hint="eastAsia"/>
                <w:snapToGrid w:val="0"/>
                <w:color w:val="000000"/>
                <w:lang w:val="en-US" w:eastAsia="zh-CN" w:bidi="ar"/>
              </w:rPr>
              <w:t>预算</w:t>
            </w:r>
            <w:r>
              <w:rPr>
                <w:rStyle w:val="23"/>
                <w:snapToGrid w:val="0"/>
                <w:color w:val="000000"/>
                <w:lang w:val="en-US" w:eastAsia="zh-CN" w:bidi="ar"/>
              </w:rPr>
              <w:t>执行率</w:t>
            </w:r>
          </w:p>
        </w:tc>
      </w:tr>
      <w:tr w14:paraId="7E761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3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DFBC49">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产出</w:t>
            </w:r>
          </w:p>
        </w:tc>
        <w:tc>
          <w:tcPr>
            <w:tcW w:w="5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D49F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产出数量</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3727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工程完工度</w:t>
            </w:r>
          </w:p>
        </w:tc>
      </w:tr>
      <w:tr w14:paraId="10071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53D1C0">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5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9052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产出质量</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0DC67">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质量达标</w:t>
            </w:r>
          </w:p>
        </w:tc>
      </w:tr>
      <w:tr w14:paraId="1A6D7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ED551">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5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11BDF">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产出时效</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EC93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开工竣工及时率</w:t>
            </w:r>
          </w:p>
        </w:tc>
      </w:tr>
      <w:tr w14:paraId="67875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7E3C9">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5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E4EA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产出成本</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A98D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成本使用</w:t>
            </w:r>
          </w:p>
        </w:tc>
      </w:tr>
      <w:tr w14:paraId="429D0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3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6C210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效益</w:t>
            </w:r>
          </w:p>
        </w:tc>
        <w:tc>
          <w:tcPr>
            <w:tcW w:w="5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68F8E">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社会效益</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FDC06">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社会影响度</w:t>
            </w:r>
          </w:p>
        </w:tc>
      </w:tr>
      <w:tr w14:paraId="3497C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0C9CA6D3">
            <w:pPr>
              <w:jc w:val="center"/>
              <w:rPr>
                <w:rFonts w:hint="eastAsia" w:ascii="宋体" w:hAnsi="宋体" w:eastAsia="宋体" w:cs="宋体"/>
                <w:i w:val="0"/>
                <w:iCs w:val="0"/>
                <w:color w:val="000000"/>
                <w:sz w:val="18"/>
                <w:szCs w:val="18"/>
                <w:u w:val="none"/>
              </w:rPr>
            </w:pPr>
          </w:p>
        </w:tc>
        <w:tc>
          <w:tcPr>
            <w:tcW w:w="5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809E5">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经济效益</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8990C">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经济带动</w:t>
            </w:r>
          </w:p>
        </w:tc>
      </w:tr>
      <w:tr w14:paraId="79B09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17209332">
            <w:pPr>
              <w:jc w:val="center"/>
              <w:rPr>
                <w:rFonts w:hint="eastAsia" w:ascii="宋体" w:hAnsi="宋体" w:eastAsia="宋体" w:cs="宋体"/>
                <w:i w:val="0"/>
                <w:iCs w:val="0"/>
                <w:color w:val="000000"/>
                <w:sz w:val="18"/>
                <w:szCs w:val="18"/>
                <w:u w:val="none"/>
              </w:rPr>
            </w:pPr>
          </w:p>
        </w:tc>
        <w:tc>
          <w:tcPr>
            <w:tcW w:w="5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251A8">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生态效益</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2D091">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生态环保</w:t>
            </w:r>
          </w:p>
        </w:tc>
      </w:tr>
      <w:tr w14:paraId="1388A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02E870D9">
            <w:pPr>
              <w:jc w:val="center"/>
              <w:rPr>
                <w:rFonts w:hint="eastAsia" w:ascii="宋体" w:hAnsi="宋体" w:eastAsia="宋体" w:cs="宋体"/>
                <w:i w:val="0"/>
                <w:iCs w:val="0"/>
                <w:color w:val="000000"/>
                <w:sz w:val="18"/>
                <w:szCs w:val="18"/>
                <w:u w:val="none"/>
              </w:rPr>
            </w:pPr>
          </w:p>
        </w:tc>
        <w:tc>
          <w:tcPr>
            <w:tcW w:w="5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20A3C">
            <w:pPr>
              <w:keepNext w:val="0"/>
              <w:keepLines w:val="0"/>
              <w:pageBreakBefore w:val="0"/>
              <w:widowControl/>
              <w:suppressLineNumbers w:val="0"/>
              <w:tabs>
                <w:tab w:val="center" w:pos="2665"/>
                <w:tab w:val="right" w:pos="5211"/>
              </w:tabs>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sz w:val="18"/>
                <w:szCs w:val="18"/>
                <w:u w:val="none"/>
              </w:rPr>
              <w:t>可持续影响</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655E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可持续运营能力</w:t>
            </w:r>
          </w:p>
        </w:tc>
      </w:tr>
      <w:tr w14:paraId="4B346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14:paraId="2C357E30">
            <w:pPr>
              <w:jc w:val="center"/>
              <w:rPr>
                <w:rFonts w:hint="eastAsia" w:ascii="宋体" w:hAnsi="宋体" w:eastAsia="宋体" w:cs="宋体"/>
                <w:i w:val="0"/>
                <w:iCs w:val="0"/>
                <w:color w:val="000000"/>
                <w:sz w:val="18"/>
                <w:szCs w:val="18"/>
                <w:u w:val="none"/>
              </w:rPr>
            </w:pPr>
          </w:p>
        </w:tc>
        <w:tc>
          <w:tcPr>
            <w:tcW w:w="5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3261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满意度</w:t>
            </w:r>
          </w:p>
        </w:tc>
        <w:tc>
          <w:tcPr>
            <w:tcW w:w="1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AF86A">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ind w:firstLine="0" w:firstLineChars="0"/>
              <w:jc w:val="center"/>
              <w:textAlignment w:val="center"/>
              <w:rPr>
                <w:rFonts w:hint="default" w:ascii="Arial Narrow" w:hAnsi="Arial Narrow" w:eastAsia="Arial Narrow" w:cs="Arial Narrow"/>
                <w:i w:val="0"/>
                <w:iCs w:val="0"/>
                <w:color w:val="000000"/>
                <w:sz w:val="18"/>
                <w:szCs w:val="18"/>
                <w:u w:val="none"/>
              </w:rPr>
            </w:pPr>
            <w:r>
              <w:rPr>
                <w:rStyle w:val="23"/>
                <w:snapToGrid w:val="0"/>
                <w:color w:val="000000"/>
                <w:lang w:val="en-US" w:eastAsia="zh-CN" w:bidi="ar"/>
              </w:rPr>
              <w:t>受益对象满意度</w:t>
            </w:r>
          </w:p>
        </w:tc>
      </w:tr>
    </w:tbl>
    <w:p w14:paraId="171B3A11">
      <w:pPr>
        <w:pStyle w:val="4"/>
        <w:keepNext/>
        <w:keepLines/>
        <w:pageBreakBefore w:val="0"/>
        <w:widowControl/>
        <w:kinsoku w:val="0"/>
        <w:wordWrap/>
        <w:overflowPunct/>
        <w:topLinePunct w:val="0"/>
        <w:autoSpaceDE w:val="0"/>
        <w:autoSpaceDN w:val="0"/>
        <w:bidi w:val="0"/>
        <w:adjustRightInd w:val="0"/>
        <w:snapToGrid w:val="0"/>
        <w:spacing w:before="0" w:beforeLines="50"/>
        <w:textAlignment w:val="baseline"/>
        <w:rPr>
          <w:rFonts w:hint="eastAsia" w:ascii="宋体" w:hAnsi="宋体"/>
          <w:lang w:val="en-US" w:eastAsia="zh-CN"/>
        </w:rPr>
      </w:pPr>
      <w:r>
        <w:rPr>
          <w:rFonts w:hint="eastAsia" w:ascii="宋体" w:hAnsi="宋体"/>
          <w:lang w:val="en-US" w:eastAsia="zh-CN"/>
        </w:rPr>
        <w:t>2.评价方法</w:t>
      </w:r>
      <w:bookmarkEnd w:id="62"/>
      <w:bookmarkEnd w:id="63"/>
      <w:bookmarkEnd w:id="64"/>
    </w:p>
    <w:p w14:paraId="7C728A09">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68" w:firstLineChars="200"/>
        <w:textAlignment w:val="baseline"/>
        <w:rPr>
          <w:rFonts w:hint="eastAsia" w:ascii="宋体" w:hAnsi="宋体" w:eastAsia="仿宋_GB2312" w:cs="仿宋_GB2312"/>
          <w:b w:val="0"/>
          <w:bCs/>
          <w:spacing w:val="-8"/>
          <w:sz w:val="30"/>
          <w:szCs w:val="30"/>
          <w:lang w:val="en-US" w:eastAsia="zh-CN"/>
        </w:rPr>
      </w:pPr>
      <w:r>
        <w:rPr>
          <w:rFonts w:hint="eastAsia" w:ascii="宋体" w:hAnsi="宋体" w:eastAsia="仿宋_GB2312" w:cs="仿宋_GB2312"/>
          <w:b w:val="0"/>
          <w:bCs/>
          <w:spacing w:val="-8"/>
          <w:sz w:val="30"/>
          <w:szCs w:val="30"/>
          <w:lang w:val="en-US" w:eastAsia="zh-CN"/>
        </w:rPr>
        <w:t>本次绩效评价遵循“客观、公正、科学、规范”的原则，结合项目特点，采取询问查证、实地察看、问卷调查和专家评议相结合的方法开展评价工作，定性与定量相结合，从项目决策、项目管理、项目产出、项目效益4个方面对本项目开展绩效评价。</w:t>
      </w:r>
    </w:p>
    <w:p w14:paraId="3E434D2F">
      <w:pPr>
        <w:pStyle w:val="4"/>
        <w:bidi w:val="0"/>
        <w:rPr>
          <w:rFonts w:hint="eastAsia" w:ascii="宋体" w:hAnsi="宋体"/>
          <w:lang w:val="en-US" w:eastAsia="zh-CN"/>
        </w:rPr>
      </w:pPr>
      <w:bookmarkStart w:id="65" w:name="_Toc7445"/>
      <w:bookmarkStart w:id="66" w:name="_Toc6786"/>
      <w:bookmarkStart w:id="67" w:name="_Toc27812"/>
      <w:r>
        <w:rPr>
          <w:rFonts w:hint="eastAsia" w:ascii="宋体" w:hAnsi="宋体"/>
          <w:lang w:val="en-US" w:eastAsia="zh-CN"/>
        </w:rPr>
        <w:t>3.评价标准</w:t>
      </w:r>
      <w:bookmarkEnd w:id="65"/>
      <w:bookmarkEnd w:id="66"/>
      <w:bookmarkEnd w:id="67"/>
    </w:p>
    <w:p w14:paraId="3565ECBB">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68" w:firstLineChars="200"/>
        <w:textAlignment w:val="baseline"/>
        <w:rPr>
          <w:rFonts w:hint="eastAsia" w:ascii="宋体" w:hAnsi="宋体" w:eastAsia="仿宋_GB2312" w:cs="仿宋_GB2312"/>
          <w:b w:val="0"/>
          <w:bCs/>
          <w:spacing w:val="-8"/>
          <w:sz w:val="30"/>
          <w:szCs w:val="30"/>
          <w:highlight w:val="none"/>
          <w:lang w:val="en-US" w:eastAsia="zh-CN"/>
        </w:rPr>
      </w:pPr>
      <w:r>
        <w:rPr>
          <w:rFonts w:hint="eastAsia" w:ascii="宋体" w:hAnsi="宋体" w:eastAsia="仿宋_GB2312" w:cs="仿宋_GB2312"/>
          <w:b w:val="0"/>
          <w:bCs/>
          <w:spacing w:val="-8"/>
          <w:sz w:val="30"/>
          <w:szCs w:val="30"/>
          <w:highlight w:val="none"/>
          <w:lang w:val="en-US" w:eastAsia="zh-CN"/>
        </w:rPr>
        <w:t>本次评价采用的评价标准主要有计划标准、行业标准和其他标准。将《地方政府专项债券项目资金绩效管理办法》</w:t>
      </w:r>
      <w:r>
        <w:rPr>
          <w:rFonts w:hint="eastAsia" w:ascii="宋体" w:hAnsi="宋体" w:cs="仿宋_GB2312"/>
          <w:b w:val="0"/>
          <w:bCs/>
          <w:spacing w:val="-8"/>
          <w:sz w:val="30"/>
          <w:szCs w:val="30"/>
          <w:highlight w:val="none"/>
          <w:lang w:val="en-US" w:eastAsia="zh-CN"/>
        </w:rPr>
        <w:t>（</w:t>
      </w:r>
      <w:r>
        <w:rPr>
          <w:rFonts w:hint="eastAsia" w:ascii="宋体" w:hAnsi="宋体" w:eastAsia="仿宋_GB2312" w:cs="仿宋_GB2312"/>
          <w:b w:val="0"/>
          <w:bCs/>
          <w:spacing w:val="-8"/>
          <w:sz w:val="30"/>
          <w:szCs w:val="30"/>
          <w:highlight w:val="none"/>
          <w:lang w:val="en-US" w:eastAsia="zh-CN"/>
        </w:rPr>
        <w:t>财预【2021】61号</w:t>
      </w:r>
      <w:r>
        <w:rPr>
          <w:rFonts w:hint="eastAsia" w:ascii="宋体" w:hAnsi="宋体" w:cs="仿宋_GB2312"/>
          <w:b w:val="0"/>
          <w:bCs/>
          <w:spacing w:val="-8"/>
          <w:sz w:val="30"/>
          <w:szCs w:val="30"/>
          <w:highlight w:val="none"/>
          <w:lang w:val="en-US" w:eastAsia="zh-CN"/>
        </w:rPr>
        <w:t>）</w:t>
      </w:r>
      <w:r>
        <w:rPr>
          <w:rFonts w:hint="eastAsia" w:ascii="宋体" w:hAnsi="宋体" w:eastAsia="仿宋_GB2312" w:cs="仿宋_GB2312"/>
          <w:b w:val="0"/>
          <w:bCs/>
          <w:spacing w:val="-8"/>
          <w:sz w:val="30"/>
          <w:szCs w:val="30"/>
          <w:highlight w:val="none"/>
          <w:lang w:val="en-US" w:eastAsia="zh-CN"/>
        </w:rPr>
        <w:t>、《吉林省地方政府专项债券项目绩效评价管理办法（试行）》（吉财债【2021】1044号）等提出的工作目标、资金拨付指标文件、资金分配方案、可行性研究报告、绩效目标表等作为计划评价标准；将《建材工业建设项目经济评价方法与参数》《建筑地基基础工程施工量验收规范》等作为行业评价标准</w:t>
      </w:r>
      <w:r>
        <w:rPr>
          <w:rFonts w:hint="eastAsia" w:ascii="宋体" w:hAnsi="宋体" w:cs="仿宋_GB2312"/>
          <w:b w:val="0"/>
          <w:bCs/>
          <w:spacing w:val="-8"/>
          <w:sz w:val="30"/>
          <w:szCs w:val="30"/>
          <w:highlight w:val="none"/>
          <w:lang w:val="en-US" w:eastAsia="zh-CN"/>
        </w:rPr>
        <w:t>，</w:t>
      </w:r>
      <w:r>
        <w:rPr>
          <w:rFonts w:hint="eastAsia" w:ascii="宋体" w:hAnsi="宋体" w:eastAsia="仿宋_GB2312" w:cs="仿宋_GB2312"/>
          <w:b w:val="0"/>
          <w:bCs/>
          <w:spacing w:val="-8"/>
          <w:sz w:val="30"/>
          <w:szCs w:val="30"/>
          <w:highlight w:val="none"/>
          <w:lang w:val="en-US" w:eastAsia="zh-CN"/>
        </w:rPr>
        <w:t>将与</w:t>
      </w:r>
      <w:r>
        <w:rPr>
          <w:rFonts w:hint="eastAsia" w:ascii="宋体" w:hAnsi="宋体" w:cs="仿宋_GB2312"/>
          <w:b w:val="0"/>
          <w:bCs/>
          <w:spacing w:val="-8"/>
          <w:sz w:val="30"/>
          <w:szCs w:val="30"/>
          <w:highlight w:val="none"/>
          <w:lang w:val="en-US" w:eastAsia="zh-CN"/>
        </w:rPr>
        <w:t>长春宽城</w:t>
      </w:r>
      <w:r>
        <w:rPr>
          <w:rFonts w:hint="eastAsia" w:ascii="宋体" w:hAnsi="宋体" w:eastAsia="仿宋_GB2312" w:cs="仿宋_GB2312"/>
          <w:b w:val="0"/>
          <w:bCs/>
          <w:spacing w:val="-8"/>
          <w:sz w:val="30"/>
          <w:szCs w:val="30"/>
          <w:highlight w:val="none"/>
          <w:lang w:val="en-US" w:eastAsia="zh-CN"/>
        </w:rPr>
        <w:t>经济开发区管理委员会商议出的标准作为其他评价标准。</w:t>
      </w:r>
    </w:p>
    <w:p w14:paraId="7578B2C3">
      <w:pPr>
        <w:pStyle w:val="2"/>
        <w:bidi w:val="0"/>
        <w:rPr>
          <w:rFonts w:hint="eastAsia" w:ascii="宋体" w:hAnsi="宋体"/>
        </w:rPr>
      </w:pPr>
      <w:bookmarkStart w:id="68" w:name="_bookmark7"/>
      <w:bookmarkEnd w:id="68"/>
      <w:bookmarkStart w:id="69" w:name="_Toc22886"/>
      <w:r>
        <w:rPr>
          <w:rFonts w:hint="eastAsia" w:ascii="宋体" w:hAnsi="宋体"/>
          <w:lang w:eastAsia="zh-CN"/>
        </w:rPr>
        <w:t>（</w:t>
      </w:r>
      <w:r>
        <w:rPr>
          <w:rFonts w:hint="eastAsia" w:ascii="宋体" w:hAnsi="宋体"/>
          <w:lang w:val="en-US" w:eastAsia="zh-CN"/>
        </w:rPr>
        <w:t>五</w:t>
      </w:r>
      <w:r>
        <w:rPr>
          <w:rFonts w:hint="eastAsia" w:ascii="宋体" w:hAnsi="宋体"/>
          <w:lang w:eastAsia="zh-CN"/>
        </w:rPr>
        <w:t>）</w:t>
      </w:r>
      <w:r>
        <w:rPr>
          <w:rFonts w:hint="eastAsia" w:ascii="宋体" w:hAnsi="宋体"/>
        </w:rPr>
        <w:t>绩效评价工作过程</w:t>
      </w:r>
      <w:bookmarkEnd w:id="69"/>
    </w:p>
    <w:p w14:paraId="55184657">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68" w:firstLineChars="200"/>
        <w:textAlignment w:val="baseline"/>
        <w:rPr>
          <w:rFonts w:hint="eastAsia" w:ascii="宋体" w:hAnsi="宋体" w:eastAsia="仿宋_GB2312" w:cs="仿宋_GB2312"/>
          <w:spacing w:val="-8"/>
          <w:sz w:val="30"/>
          <w:szCs w:val="30"/>
          <w:lang w:val="en-US" w:eastAsia="zh-CN"/>
        </w:rPr>
      </w:pPr>
      <w:r>
        <w:rPr>
          <w:rFonts w:hint="eastAsia" w:ascii="宋体" w:hAnsi="宋体" w:eastAsia="仿宋_GB2312" w:cs="仿宋_GB2312"/>
          <w:spacing w:val="-8"/>
          <w:sz w:val="30"/>
          <w:szCs w:val="30"/>
          <w:lang w:val="en-US" w:eastAsia="zh-CN"/>
        </w:rPr>
        <w:t>前期资料收集及调研，收集查找有关项目的法律法规和相关制度；相关行业政策、行业标准及专业技术规范；预算管理制度、专项债券资金及财务管理办法、专项债券资金拨付文件等资料，对项目情况进行初步了解。</w:t>
      </w:r>
    </w:p>
    <w:p w14:paraId="6D3CB9F4">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68" w:firstLineChars="200"/>
        <w:textAlignment w:val="baseline"/>
        <w:rPr>
          <w:rFonts w:hint="eastAsia" w:ascii="宋体" w:hAnsi="宋体" w:eastAsia="仿宋_GB2312" w:cs="仿宋_GB2312"/>
          <w:spacing w:val="-8"/>
          <w:sz w:val="30"/>
          <w:szCs w:val="30"/>
          <w:highlight w:val="none"/>
          <w:lang w:val="en-US" w:eastAsia="zh-CN"/>
        </w:rPr>
      </w:pPr>
      <w:r>
        <w:rPr>
          <w:rFonts w:hint="eastAsia" w:ascii="宋体" w:hAnsi="宋体" w:eastAsia="仿宋_GB2312" w:cs="仿宋_GB2312"/>
          <w:spacing w:val="-8"/>
          <w:sz w:val="30"/>
          <w:szCs w:val="30"/>
          <w:lang w:val="en-US" w:eastAsia="zh-CN"/>
        </w:rPr>
        <w:t>根据项目内容和特征制定评价指标体系、评价标准及评价实施方案，确定所需材料清单和访谈问卷，形成绩效评价工作方案初稿。组成项目小组进行组内讨论，多轮修改及校对。根据专家</w:t>
      </w:r>
      <w:r>
        <w:rPr>
          <w:rFonts w:hint="eastAsia" w:ascii="宋体" w:hAnsi="宋体" w:eastAsia="仿宋_GB2312" w:cs="仿宋_GB2312"/>
          <w:spacing w:val="-8"/>
          <w:sz w:val="30"/>
          <w:szCs w:val="30"/>
          <w:highlight w:val="none"/>
          <w:lang w:val="en-US" w:eastAsia="zh-CN"/>
        </w:rPr>
        <w:t>老师的指导完善工作方案，确定最终的绩效评价方案。</w:t>
      </w:r>
    </w:p>
    <w:p w14:paraId="3E34AF65">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68" w:firstLineChars="200"/>
        <w:textAlignment w:val="baseline"/>
        <w:rPr>
          <w:rFonts w:hint="eastAsia" w:ascii="宋体" w:hAnsi="宋体" w:eastAsia="仿宋_GB2312" w:cs="仿宋_GB2312"/>
          <w:spacing w:val="-8"/>
          <w:sz w:val="30"/>
          <w:szCs w:val="30"/>
          <w:lang w:val="en-US" w:eastAsia="zh-CN"/>
        </w:rPr>
      </w:pPr>
      <w:r>
        <w:rPr>
          <w:rFonts w:hint="eastAsia" w:ascii="宋体" w:hAnsi="宋体" w:eastAsia="仿宋_GB2312" w:cs="仿宋_GB2312"/>
          <w:spacing w:val="-8"/>
          <w:sz w:val="30"/>
          <w:szCs w:val="30"/>
          <w:highlight w:val="none"/>
          <w:lang w:val="en-US" w:eastAsia="zh-CN"/>
        </w:rPr>
        <w:t>202</w:t>
      </w:r>
      <w:r>
        <w:rPr>
          <w:rFonts w:hint="eastAsia" w:ascii="宋体" w:hAnsi="宋体" w:cs="仿宋_GB2312"/>
          <w:spacing w:val="-8"/>
          <w:sz w:val="30"/>
          <w:szCs w:val="30"/>
          <w:highlight w:val="none"/>
          <w:lang w:val="en-US" w:eastAsia="zh-CN"/>
        </w:rPr>
        <w:t>5</w:t>
      </w:r>
      <w:r>
        <w:rPr>
          <w:rFonts w:hint="eastAsia" w:ascii="宋体" w:hAnsi="宋体" w:eastAsia="仿宋_GB2312" w:cs="仿宋_GB2312"/>
          <w:spacing w:val="-8"/>
          <w:sz w:val="30"/>
          <w:szCs w:val="30"/>
          <w:highlight w:val="none"/>
          <w:lang w:val="en-US" w:eastAsia="zh-CN"/>
        </w:rPr>
        <w:t>年</w:t>
      </w:r>
      <w:r>
        <w:rPr>
          <w:rFonts w:hint="eastAsia" w:ascii="宋体" w:hAnsi="宋体" w:cs="仿宋_GB2312"/>
          <w:spacing w:val="-8"/>
          <w:sz w:val="30"/>
          <w:szCs w:val="30"/>
          <w:highlight w:val="none"/>
          <w:lang w:val="en-US" w:eastAsia="zh-CN"/>
        </w:rPr>
        <w:t>5</w:t>
      </w:r>
      <w:r>
        <w:rPr>
          <w:rFonts w:hint="eastAsia" w:ascii="宋体" w:hAnsi="宋体" w:eastAsia="仿宋_GB2312" w:cs="仿宋_GB2312"/>
          <w:spacing w:val="-8"/>
          <w:sz w:val="30"/>
          <w:szCs w:val="30"/>
          <w:highlight w:val="none"/>
          <w:lang w:val="en-US" w:eastAsia="zh-CN"/>
        </w:rPr>
        <w:t>月，评价组开始调研工作，评价组先后对</w:t>
      </w:r>
      <w:r>
        <w:rPr>
          <w:rFonts w:hint="eastAsia" w:ascii="宋体" w:hAnsi="宋体" w:cs="仿宋_GB2312"/>
          <w:spacing w:val="-8"/>
          <w:sz w:val="30"/>
          <w:szCs w:val="30"/>
          <w:highlight w:val="none"/>
          <w:lang w:val="en-US" w:eastAsia="zh-CN"/>
        </w:rPr>
        <w:t>长春宽城</w:t>
      </w:r>
      <w:r>
        <w:rPr>
          <w:rFonts w:hint="eastAsia" w:ascii="宋体" w:hAnsi="宋体" w:eastAsia="仿宋_GB2312" w:cs="仿宋_GB2312"/>
          <w:spacing w:val="-8"/>
          <w:sz w:val="30"/>
          <w:szCs w:val="30"/>
          <w:highlight w:val="none"/>
          <w:lang w:val="en-US" w:eastAsia="zh-CN"/>
        </w:rPr>
        <w:t>经济开发区管理委员会、</w:t>
      </w:r>
      <w:r>
        <w:rPr>
          <w:rFonts w:hint="eastAsia" w:ascii="宋体" w:hAnsi="宋体" w:cs="仿宋_GB2312"/>
          <w:spacing w:val="-8"/>
          <w:sz w:val="30"/>
          <w:szCs w:val="30"/>
          <w:highlight w:val="none"/>
          <w:lang w:val="en-US" w:eastAsia="zh-CN"/>
        </w:rPr>
        <w:t>长春市宽城区医院</w:t>
      </w:r>
      <w:r>
        <w:rPr>
          <w:rFonts w:hint="eastAsia" w:ascii="宋体" w:hAnsi="宋体" w:eastAsia="仿宋_GB2312" w:cs="仿宋_GB2312"/>
          <w:spacing w:val="-8"/>
          <w:sz w:val="30"/>
          <w:szCs w:val="30"/>
          <w:highlight w:val="none"/>
          <w:lang w:val="en-US" w:eastAsia="zh-CN"/>
        </w:rPr>
        <w:t>进行现场调研。主要听取被评价单位与评价项目的目标设定及完成情况，组织管理制度健全及落实情况，专项资金执行情况，财务管理状况，和项目产生的效益效果情况介绍。了解项目实施等情况并收集所需资料，</w:t>
      </w:r>
      <w:r>
        <w:rPr>
          <w:rFonts w:hint="eastAsia" w:ascii="宋体" w:hAnsi="宋体" w:eastAsia="仿宋_GB2312" w:cs="仿宋_GB2312"/>
          <w:spacing w:val="-8"/>
          <w:sz w:val="30"/>
          <w:szCs w:val="30"/>
          <w:lang w:val="en-US" w:eastAsia="zh-CN"/>
        </w:rPr>
        <w:t>对收集的资料进行查看，核实其真实性。</w:t>
      </w:r>
    </w:p>
    <w:p w14:paraId="0D75B4E3">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68" w:firstLineChars="200"/>
        <w:textAlignment w:val="baseline"/>
        <w:rPr>
          <w:rFonts w:hint="eastAsia" w:ascii="宋体" w:hAnsi="宋体" w:eastAsia="仿宋_GB2312" w:cs="仿宋_GB2312"/>
          <w:spacing w:val="-8"/>
          <w:sz w:val="30"/>
          <w:szCs w:val="30"/>
          <w:highlight w:val="none"/>
          <w:lang w:val="en-US" w:eastAsia="zh-CN"/>
        </w:rPr>
      </w:pPr>
      <w:r>
        <w:rPr>
          <w:rFonts w:hint="eastAsia" w:ascii="宋体" w:hAnsi="宋体" w:eastAsia="仿宋_GB2312" w:cs="仿宋_GB2312"/>
          <w:spacing w:val="-8"/>
          <w:sz w:val="30"/>
          <w:szCs w:val="30"/>
          <w:lang w:val="en-US" w:eastAsia="zh-CN"/>
        </w:rPr>
        <w:t>评价组按照绩效评价原则和规范，对取得的资料与数据进行客观分析，按照绩效评价指标体系逐一打分，并撰写绩效评价报</w:t>
      </w:r>
      <w:r>
        <w:rPr>
          <w:rFonts w:hint="eastAsia" w:ascii="宋体" w:hAnsi="宋体" w:eastAsia="仿宋_GB2312" w:cs="仿宋_GB2312"/>
          <w:spacing w:val="-8"/>
          <w:sz w:val="30"/>
          <w:szCs w:val="30"/>
          <w:highlight w:val="none"/>
          <w:lang w:val="en-US" w:eastAsia="zh-CN"/>
        </w:rPr>
        <w:t>告，完成初稿后，征求被评价单位意见，根据反馈的有效意见对评价报告进行修改，并按照规定的时间提交给</w:t>
      </w:r>
      <w:r>
        <w:rPr>
          <w:rFonts w:hint="eastAsia" w:ascii="宋体" w:hAnsi="宋体" w:cs="仿宋_GB2312"/>
          <w:spacing w:val="-8"/>
          <w:sz w:val="30"/>
          <w:szCs w:val="30"/>
          <w:highlight w:val="none"/>
          <w:lang w:val="en-US" w:eastAsia="zh-CN"/>
        </w:rPr>
        <w:t>长春宽城经济</w:t>
      </w:r>
      <w:r>
        <w:rPr>
          <w:rFonts w:hint="eastAsia" w:ascii="宋体" w:hAnsi="宋体" w:eastAsia="仿宋_GB2312" w:cs="仿宋_GB2312"/>
          <w:spacing w:val="-8"/>
          <w:sz w:val="30"/>
          <w:szCs w:val="30"/>
          <w:highlight w:val="none"/>
          <w:lang w:val="en-US" w:eastAsia="zh-CN"/>
        </w:rPr>
        <w:t>开发区管理委员会审核。</w:t>
      </w:r>
    </w:p>
    <w:p w14:paraId="2C8F1E78">
      <w:pPr>
        <w:pStyle w:val="3"/>
        <w:bidi w:val="0"/>
        <w:rPr>
          <w:rFonts w:hint="eastAsia" w:ascii="宋体" w:hAnsi="宋体"/>
          <w:highlight w:val="none"/>
        </w:rPr>
      </w:pPr>
      <w:bookmarkStart w:id="70" w:name="_bookmark8"/>
      <w:bookmarkEnd w:id="70"/>
      <w:bookmarkStart w:id="71" w:name="_Toc20323"/>
      <w:r>
        <w:rPr>
          <w:rFonts w:hint="eastAsia" w:ascii="宋体" w:hAnsi="宋体"/>
          <w:highlight w:val="none"/>
        </w:rPr>
        <w:t>三、综合评价情况及评价结论</w:t>
      </w:r>
      <w:bookmarkEnd w:id="71"/>
    </w:p>
    <w:p w14:paraId="24E7234C">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68" w:firstLineChars="200"/>
        <w:textAlignment w:val="baseline"/>
        <w:rPr>
          <w:rFonts w:hint="eastAsia" w:ascii="宋体" w:hAnsi="宋体" w:eastAsia="仿宋_GB2312" w:cs="仿宋_GB2312"/>
          <w:spacing w:val="-8"/>
          <w:sz w:val="30"/>
          <w:szCs w:val="30"/>
          <w:lang w:val="en-US" w:eastAsia="zh-CN"/>
        </w:rPr>
      </w:pPr>
      <w:r>
        <w:rPr>
          <w:rFonts w:hint="eastAsia" w:ascii="宋体" w:hAnsi="宋体" w:eastAsia="仿宋_GB2312" w:cs="仿宋_GB2312"/>
          <w:spacing w:val="-8"/>
          <w:sz w:val="30"/>
          <w:szCs w:val="30"/>
          <w:highlight w:val="none"/>
          <w:lang w:val="en-US" w:eastAsia="zh-CN"/>
        </w:rPr>
        <w:t>该项目绩效评价得分为</w:t>
      </w:r>
      <w:r>
        <w:rPr>
          <w:rFonts w:hint="eastAsia" w:ascii="宋体" w:hAnsi="宋体" w:cs="仿宋_GB2312"/>
          <w:spacing w:val="-8"/>
          <w:sz w:val="30"/>
          <w:szCs w:val="30"/>
          <w:highlight w:val="none"/>
          <w:lang w:val="en-US" w:eastAsia="zh-CN"/>
        </w:rPr>
        <w:t>95</w:t>
      </w:r>
      <w:r>
        <w:rPr>
          <w:rFonts w:hint="eastAsia" w:ascii="宋体" w:hAnsi="宋体" w:eastAsia="仿宋_GB2312" w:cs="仿宋_GB2312"/>
          <w:spacing w:val="-8"/>
          <w:sz w:val="30"/>
          <w:szCs w:val="30"/>
          <w:highlight w:val="none"/>
          <w:lang w:val="en-US" w:eastAsia="zh-CN"/>
        </w:rPr>
        <w:t>分，根据《吉林省地方政府专项债券项目资金绩效管理办法（试行）》（吉财</w:t>
      </w:r>
      <w:r>
        <w:rPr>
          <w:rFonts w:hint="eastAsia" w:ascii="宋体" w:hAnsi="宋体" w:eastAsia="仿宋_GB2312" w:cs="仿宋_GB2312"/>
          <w:spacing w:val="-8"/>
          <w:sz w:val="30"/>
          <w:szCs w:val="30"/>
          <w:lang w:val="en-US" w:eastAsia="zh-CN"/>
        </w:rPr>
        <w:t>债〔2021〕1044 号），本项目综合评分分</w:t>
      </w:r>
      <w:r>
        <w:rPr>
          <w:rFonts w:hint="eastAsia" w:ascii="宋体" w:hAnsi="宋体" w:eastAsia="仿宋_GB2312" w:cs="仿宋_GB2312"/>
          <w:spacing w:val="-8"/>
          <w:sz w:val="30"/>
          <w:szCs w:val="30"/>
          <w:highlight w:val="none"/>
          <w:lang w:val="en-US" w:eastAsia="zh-CN"/>
        </w:rPr>
        <w:t>级为“</w:t>
      </w:r>
      <w:r>
        <w:rPr>
          <w:rFonts w:hint="eastAsia" w:ascii="宋体" w:hAnsi="宋体" w:cs="仿宋_GB2312"/>
          <w:spacing w:val="-8"/>
          <w:sz w:val="30"/>
          <w:szCs w:val="30"/>
          <w:highlight w:val="none"/>
          <w:lang w:val="en-US" w:eastAsia="zh-CN"/>
        </w:rPr>
        <w:t>优</w:t>
      </w:r>
      <w:r>
        <w:rPr>
          <w:rFonts w:hint="eastAsia" w:ascii="宋体" w:hAnsi="宋体" w:eastAsia="仿宋_GB2312" w:cs="仿宋_GB2312"/>
          <w:spacing w:val="-8"/>
          <w:sz w:val="30"/>
          <w:szCs w:val="30"/>
          <w:highlight w:val="none"/>
          <w:lang w:val="en-US" w:eastAsia="zh-CN"/>
        </w:rPr>
        <w:t>”，评价等级为“</w:t>
      </w:r>
      <w:r>
        <w:rPr>
          <w:rFonts w:hint="eastAsia" w:ascii="宋体" w:hAnsi="宋体" w:cs="仿宋_GB2312"/>
          <w:spacing w:val="-8"/>
          <w:sz w:val="30"/>
          <w:szCs w:val="30"/>
          <w:highlight w:val="none"/>
          <w:lang w:val="en-US" w:eastAsia="zh-CN"/>
        </w:rPr>
        <w:t>优</w:t>
      </w:r>
      <w:r>
        <w:rPr>
          <w:rFonts w:hint="eastAsia" w:ascii="宋体" w:hAnsi="宋体" w:eastAsia="仿宋_GB2312" w:cs="仿宋_GB2312"/>
          <w:spacing w:val="-8"/>
          <w:sz w:val="30"/>
          <w:szCs w:val="30"/>
          <w:highlight w:val="none"/>
          <w:lang w:val="en-US" w:eastAsia="zh-CN"/>
        </w:rPr>
        <w:t>”。绩效评价得分汇总如表2所示，该项目综合评价情况如下：</w:t>
      </w:r>
    </w:p>
    <w:p w14:paraId="7F406F3C">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70" w:firstLineChars="200"/>
        <w:textAlignment w:val="baseline"/>
        <w:rPr>
          <w:rFonts w:hint="eastAsia" w:ascii="宋体" w:hAnsi="宋体" w:eastAsia="仿宋_GB2312" w:cs="仿宋_GB2312"/>
          <w:spacing w:val="-8"/>
          <w:sz w:val="30"/>
          <w:szCs w:val="30"/>
          <w:highlight w:val="none"/>
          <w:lang w:val="en-US" w:eastAsia="zh-CN"/>
        </w:rPr>
      </w:pPr>
      <w:r>
        <w:rPr>
          <w:rFonts w:hint="eastAsia" w:ascii="宋体" w:hAnsi="宋体" w:eastAsia="仿宋_GB2312" w:cs="仿宋_GB2312"/>
          <w:b/>
          <w:bCs/>
          <w:spacing w:val="-8"/>
          <w:sz w:val="30"/>
          <w:szCs w:val="30"/>
          <w:highlight w:val="none"/>
          <w:lang w:val="en-US" w:eastAsia="zh-CN"/>
        </w:rPr>
        <w:t>决策方面</w:t>
      </w:r>
      <w:r>
        <w:rPr>
          <w:rFonts w:hint="eastAsia" w:ascii="宋体" w:hAnsi="宋体" w:eastAsia="仿宋_GB2312" w:cs="仿宋_GB2312"/>
          <w:spacing w:val="-8"/>
          <w:sz w:val="30"/>
          <w:szCs w:val="30"/>
          <w:highlight w:val="none"/>
          <w:lang w:val="en-US" w:eastAsia="zh-CN"/>
        </w:rPr>
        <w:t>，</w:t>
      </w:r>
      <w:r>
        <w:rPr>
          <w:rFonts w:hint="eastAsia" w:ascii="宋体" w:hAnsi="宋体" w:cs="仿宋_GB2312"/>
          <w:spacing w:val="-8"/>
          <w:sz w:val="30"/>
          <w:szCs w:val="30"/>
          <w:highlight w:val="none"/>
          <w:lang w:val="en-US" w:eastAsia="zh-CN"/>
        </w:rPr>
        <w:t>长春市宽城区医院异地</w:t>
      </w:r>
      <w:r>
        <w:rPr>
          <w:rFonts w:hint="eastAsia" w:ascii="宋体" w:hAnsi="宋体" w:eastAsia="仿宋_GB2312" w:cs="仿宋_GB2312"/>
          <w:spacing w:val="-8"/>
          <w:sz w:val="30"/>
          <w:szCs w:val="30"/>
          <w:highlight w:val="none"/>
          <w:lang w:val="en-US" w:eastAsia="zh-CN"/>
        </w:rPr>
        <w:t>建设项目实施过程中，能够做到立项与管理基本规范，项目基本完成；立项依据基本充分，立项程序规范。</w:t>
      </w:r>
    </w:p>
    <w:p w14:paraId="3F4EFB3E">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70" w:firstLineChars="200"/>
        <w:textAlignment w:val="baseline"/>
        <w:rPr>
          <w:rFonts w:hint="eastAsia" w:ascii="宋体" w:hAnsi="宋体" w:eastAsia="仿宋_GB2312" w:cs="仿宋_GB2312"/>
          <w:spacing w:val="-8"/>
          <w:sz w:val="30"/>
          <w:szCs w:val="30"/>
          <w:highlight w:val="none"/>
          <w:lang w:val="en-US" w:eastAsia="zh-CN"/>
        </w:rPr>
      </w:pPr>
      <w:r>
        <w:rPr>
          <w:rFonts w:hint="eastAsia" w:ascii="宋体" w:hAnsi="宋体" w:eastAsia="仿宋_GB2312" w:cs="仿宋_GB2312"/>
          <w:b/>
          <w:bCs/>
          <w:spacing w:val="-8"/>
          <w:sz w:val="30"/>
          <w:szCs w:val="30"/>
          <w:highlight w:val="none"/>
          <w:lang w:val="en-US" w:eastAsia="zh-CN"/>
        </w:rPr>
        <w:t>管理方面</w:t>
      </w:r>
      <w:r>
        <w:rPr>
          <w:rFonts w:hint="eastAsia" w:ascii="宋体" w:hAnsi="宋体" w:eastAsia="仿宋_GB2312" w:cs="仿宋_GB2312"/>
          <w:spacing w:val="-8"/>
          <w:sz w:val="30"/>
          <w:szCs w:val="30"/>
          <w:highlight w:val="none"/>
          <w:lang w:val="en-US" w:eastAsia="zh-CN"/>
        </w:rPr>
        <w:t>，资金到位及时、资金使用合规，</w:t>
      </w:r>
      <w:r>
        <w:rPr>
          <w:rFonts w:hint="eastAsia" w:ascii="宋体" w:hAnsi="宋体" w:cs="仿宋_GB2312"/>
          <w:spacing w:val="-8"/>
          <w:sz w:val="30"/>
          <w:szCs w:val="30"/>
          <w:highlight w:val="none"/>
          <w:lang w:val="en-US" w:eastAsia="zh-CN"/>
        </w:rPr>
        <w:t>基本</w:t>
      </w:r>
      <w:r>
        <w:rPr>
          <w:rFonts w:hint="eastAsia" w:ascii="宋体" w:hAnsi="宋体" w:eastAsia="仿宋_GB2312" w:cs="仿宋_GB2312"/>
          <w:spacing w:val="-8"/>
          <w:sz w:val="30"/>
          <w:szCs w:val="30"/>
          <w:highlight w:val="none"/>
          <w:lang w:val="en-US" w:eastAsia="zh-CN"/>
        </w:rPr>
        <w:t>符合国家财经法规和财务管理制度以及有关专项资金管理办法的规定，</w:t>
      </w:r>
      <w:r>
        <w:rPr>
          <w:rFonts w:hint="eastAsia" w:ascii="宋体" w:hAnsi="宋体" w:cs="仿宋_GB2312"/>
          <w:spacing w:val="-8"/>
          <w:sz w:val="30"/>
          <w:szCs w:val="30"/>
          <w:highlight w:val="none"/>
          <w:lang w:val="en-US" w:eastAsia="zh-CN"/>
        </w:rPr>
        <w:t>但在合同签订等流程中不够严谨；</w:t>
      </w:r>
      <w:r>
        <w:rPr>
          <w:rFonts w:hint="eastAsia" w:ascii="宋体" w:hAnsi="宋体" w:eastAsia="仿宋_GB2312" w:cs="仿宋_GB2312"/>
          <w:spacing w:val="-8"/>
          <w:sz w:val="30"/>
          <w:szCs w:val="30"/>
          <w:highlight w:val="none"/>
          <w:lang w:val="en-US" w:eastAsia="zh-CN"/>
        </w:rPr>
        <w:t>资金拨付的审批程序和手续完整</w:t>
      </w:r>
      <w:r>
        <w:rPr>
          <w:rFonts w:hint="eastAsia" w:ascii="宋体" w:hAnsi="宋体" w:cs="仿宋_GB2312"/>
          <w:spacing w:val="-8"/>
          <w:sz w:val="30"/>
          <w:szCs w:val="30"/>
          <w:highlight w:val="none"/>
          <w:lang w:val="en-US" w:eastAsia="zh-CN"/>
        </w:rPr>
        <w:t>，</w:t>
      </w:r>
      <w:r>
        <w:rPr>
          <w:rFonts w:hint="eastAsia" w:ascii="宋体" w:hAnsi="宋体" w:eastAsia="仿宋_GB2312" w:cs="仿宋_GB2312"/>
          <w:spacing w:val="-8"/>
          <w:sz w:val="30"/>
          <w:szCs w:val="30"/>
          <w:highlight w:val="none"/>
          <w:lang w:val="en-US" w:eastAsia="zh-CN"/>
        </w:rPr>
        <w:t>项目前期资料准备充分并取得批复，管理制度基本健全，项目合同书等资料齐全并归档管理。</w:t>
      </w:r>
    </w:p>
    <w:p w14:paraId="6DE4046D">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70" w:firstLineChars="200"/>
        <w:jc w:val="both"/>
        <w:textAlignment w:val="baseline"/>
        <w:rPr>
          <w:rFonts w:hint="eastAsia" w:ascii="宋体" w:hAnsi="宋体" w:eastAsia="仿宋_GB2312" w:cs="仿宋_GB2312"/>
          <w:spacing w:val="-8"/>
          <w:sz w:val="30"/>
          <w:szCs w:val="30"/>
          <w:highlight w:val="none"/>
          <w:lang w:val="en-US" w:eastAsia="zh-CN"/>
        </w:rPr>
      </w:pPr>
      <w:r>
        <w:rPr>
          <w:rFonts w:hint="eastAsia" w:ascii="宋体" w:hAnsi="宋体" w:eastAsia="仿宋_GB2312" w:cs="仿宋_GB2312"/>
          <w:b/>
          <w:bCs/>
          <w:spacing w:val="-8"/>
          <w:sz w:val="30"/>
          <w:szCs w:val="30"/>
          <w:highlight w:val="none"/>
          <w:lang w:val="en-US" w:eastAsia="zh-CN"/>
        </w:rPr>
        <w:t>产出方面</w:t>
      </w:r>
      <w:r>
        <w:rPr>
          <w:rFonts w:hint="eastAsia" w:ascii="宋体" w:hAnsi="宋体" w:eastAsia="仿宋_GB2312" w:cs="仿宋_GB2312"/>
          <w:spacing w:val="-8"/>
          <w:sz w:val="30"/>
          <w:szCs w:val="30"/>
          <w:highlight w:val="none"/>
          <w:lang w:val="en-US" w:eastAsia="zh-CN"/>
        </w:rPr>
        <w:t>，项目未按时开工，施工主体工程</w:t>
      </w:r>
      <w:r>
        <w:rPr>
          <w:rFonts w:hint="eastAsia" w:ascii="宋体" w:hAnsi="宋体" w:cs="仿宋_GB2312"/>
          <w:spacing w:val="-8"/>
          <w:sz w:val="30"/>
          <w:szCs w:val="30"/>
          <w:highlight w:val="none"/>
          <w:lang w:val="en-US" w:eastAsia="zh-CN"/>
        </w:rPr>
        <w:t>按照</w:t>
      </w:r>
      <w:r>
        <w:rPr>
          <w:rFonts w:hint="eastAsia" w:ascii="宋体" w:hAnsi="宋体" w:eastAsia="仿宋_GB2312" w:cs="仿宋_GB2312"/>
          <w:spacing w:val="-8"/>
          <w:sz w:val="30"/>
          <w:szCs w:val="30"/>
          <w:highlight w:val="none"/>
          <w:lang w:val="en-US" w:eastAsia="zh-CN"/>
        </w:rPr>
        <w:t>计划工期</w:t>
      </w:r>
      <w:r>
        <w:rPr>
          <w:rFonts w:hint="eastAsia" w:ascii="宋体" w:hAnsi="宋体" w:cs="仿宋_GB2312"/>
          <w:spacing w:val="-8"/>
          <w:sz w:val="30"/>
          <w:szCs w:val="30"/>
          <w:highlight w:val="none"/>
          <w:lang w:val="en-US" w:eastAsia="zh-CN"/>
        </w:rPr>
        <w:t>进行工程建设</w:t>
      </w:r>
      <w:r>
        <w:rPr>
          <w:rFonts w:hint="eastAsia" w:ascii="宋体" w:hAnsi="宋体" w:eastAsia="仿宋_GB2312" w:cs="仿宋_GB2312"/>
          <w:spacing w:val="-8"/>
          <w:sz w:val="30"/>
          <w:szCs w:val="30"/>
          <w:highlight w:val="none"/>
          <w:lang w:val="en-US" w:eastAsia="zh-CN"/>
        </w:rPr>
        <w:t>，</w:t>
      </w:r>
      <w:r>
        <w:rPr>
          <w:rFonts w:hint="eastAsia" w:ascii="宋体" w:hAnsi="宋体" w:eastAsia="仿宋_GB2312" w:cs="仿宋_GB2312"/>
          <w:i w:val="0"/>
          <w:iCs w:val="0"/>
          <w:caps w:val="0"/>
          <w:color w:val="333333"/>
          <w:spacing w:val="6"/>
          <w:sz w:val="30"/>
          <w:szCs w:val="30"/>
          <w:highlight w:val="none"/>
          <w:shd w:val="clear" w:fill="FFFFFF"/>
          <w:lang w:val="en-US" w:eastAsia="zh-CN"/>
        </w:rPr>
        <w:t>资金拨付</w:t>
      </w:r>
      <w:r>
        <w:rPr>
          <w:rFonts w:hint="eastAsia" w:ascii="宋体" w:hAnsi="宋体" w:cs="仿宋_GB2312"/>
          <w:i w:val="0"/>
          <w:iCs w:val="0"/>
          <w:caps w:val="0"/>
          <w:color w:val="333333"/>
          <w:spacing w:val="6"/>
          <w:sz w:val="30"/>
          <w:szCs w:val="30"/>
          <w:highlight w:val="none"/>
          <w:shd w:val="clear" w:fill="FFFFFF"/>
          <w:lang w:val="en-US" w:eastAsia="zh-CN"/>
        </w:rPr>
        <w:t>能够</w:t>
      </w:r>
      <w:r>
        <w:rPr>
          <w:rFonts w:hint="eastAsia" w:ascii="宋体" w:hAnsi="宋体" w:eastAsia="仿宋_GB2312" w:cs="仿宋_GB2312"/>
          <w:i w:val="0"/>
          <w:iCs w:val="0"/>
          <w:caps w:val="0"/>
          <w:color w:val="333333"/>
          <w:spacing w:val="6"/>
          <w:sz w:val="30"/>
          <w:szCs w:val="30"/>
          <w:highlight w:val="none"/>
          <w:shd w:val="clear" w:fill="FFFFFF"/>
          <w:lang w:val="en-US" w:eastAsia="zh-CN"/>
        </w:rPr>
        <w:t>按照合同约定付款周期执行</w:t>
      </w:r>
      <w:r>
        <w:rPr>
          <w:rFonts w:hint="eastAsia" w:ascii="宋体" w:hAnsi="宋体" w:cs="仿宋_GB2312"/>
          <w:i w:val="0"/>
          <w:iCs w:val="0"/>
          <w:caps w:val="0"/>
          <w:color w:val="333333"/>
          <w:spacing w:val="6"/>
          <w:sz w:val="30"/>
          <w:szCs w:val="30"/>
          <w:highlight w:val="none"/>
          <w:shd w:val="clear" w:fill="FFFFFF"/>
          <w:lang w:val="en-US" w:eastAsia="zh-CN"/>
        </w:rPr>
        <w:t>，</w:t>
      </w:r>
      <w:r>
        <w:rPr>
          <w:rFonts w:hint="eastAsia" w:ascii="宋体" w:hAnsi="宋体" w:eastAsia="仿宋_GB2312" w:cs="仿宋_GB2312"/>
          <w:spacing w:val="-8"/>
          <w:sz w:val="30"/>
          <w:szCs w:val="30"/>
          <w:highlight w:val="none"/>
          <w:lang w:val="en-US" w:eastAsia="zh-CN"/>
        </w:rPr>
        <w:t>工程质量</w:t>
      </w:r>
      <w:r>
        <w:rPr>
          <w:rFonts w:hint="eastAsia" w:ascii="宋体" w:hAnsi="宋体" w:cs="仿宋_GB2312"/>
          <w:spacing w:val="-8"/>
          <w:sz w:val="30"/>
          <w:szCs w:val="30"/>
          <w:highlight w:val="none"/>
          <w:lang w:val="en-US" w:eastAsia="zh-CN"/>
        </w:rPr>
        <w:t>方面</w:t>
      </w:r>
      <w:r>
        <w:rPr>
          <w:rFonts w:hint="eastAsia" w:ascii="宋体" w:hAnsi="宋体" w:eastAsia="仿宋_GB2312" w:cs="仿宋_GB2312"/>
          <w:spacing w:val="-8"/>
          <w:sz w:val="30"/>
          <w:szCs w:val="30"/>
          <w:highlight w:val="none"/>
          <w:lang w:val="en-US" w:eastAsia="zh-CN"/>
        </w:rPr>
        <w:t>得到较好保障。</w:t>
      </w:r>
    </w:p>
    <w:p w14:paraId="1CF8591D">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570" w:firstLineChars="200"/>
        <w:textAlignment w:val="baseline"/>
        <w:rPr>
          <w:rFonts w:hint="eastAsia" w:ascii="宋体" w:hAnsi="宋体" w:eastAsia="仿宋_GB2312" w:cs="仿宋_GB2312"/>
          <w:spacing w:val="-8"/>
          <w:sz w:val="30"/>
          <w:szCs w:val="30"/>
          <w:highlight w:val="none"/>
          <w:lang w:val="en-US" w:eastAsia="zh-CN"/>
        </w:rPr>
      </w:pPr>
      <w:r>
        <w:rPr>
          <w:rFonts w:hint="eastAsia" w:ascii="宋体" w:hAnsi="宋体" w:eastAsia="仿宋_GB2312" w:cs="仿宋_GB2312"/>
          <w:b/>
          <w:bCs/>
          <w:spacing w:val="-8"/>
          <w:sz w:val="30"/>
          <w:szCs w:val="30"/>
          <w:highlight w:val="none"/>
          <w:lang w:val="en-US" w:eastAsia="zh-CN"/>
        </w:rPr>
        <w:t>效益方面</w:t>
      </w:r>
      <w:r>
        <w:rPr>
          <w:rFonts w:hint="eastAsia" w:ascii="宋体" w:hAnsi="宋体" w:eastAsia="仿宋_GB2312" w:cs="仿宋_GB2312"/>
          <w:spacing w:val="-8"/>
          <w:sz w:val="30"/>
          <w:szCs w:val="30"/>
          <w:highlight w:val="none"/>
          <w:lang w:val="en-US" w:eastAsia="zh-CN"/>
        </w:rPr>
        <w:t>，可以改善医疗环境和布局，发展宽城区医疗卫生事业</w:t>
      </w:r>
      <w:r>
        <w:rPr>
          <w:rFonts w:hint="eastAsia" w:ascii="宋体" w:hAnsi="宋体" w:cs="仿宋_GB2312"/>
          <w:spacing w:val="-8"/>
          <w:sz w:val="30"/>
          <w:szCs w:val="30"/>
          <w:highlight w:val="none"/>
          <w:lang w:val="en-US" w:eastAsia="zh-CN"/>
        </w:rPr>
        <w:t>，</w:t>
      </w:r>
      <w:r>
        <w:rPr>
          <w:rFonts w:hint="eastAsia" w:ascii="宋体" w:hAnsi="宋体" w:eastAsia="仿宋_GB2312" w:cs="仿宋_GB2312"/>
          <w:spacing w:val="-8"/>
          <w:sz w:val="30"/>
          <w:szCs w:val="30"/>
          <w:highlight w:val="none"/>
          <w:lang w:val="en-US" w:eastAsia="zh-CN"/>
        </w:rPr>
        <w:t>能有效促进宽城区医疗卫生服务体系建设，完善服务功能、增强服务能力、提高服务质量、降低药品价格，使广大群众的疾病能及时得到医治，有地方看病，方便看病，而且价格实惠。项目的实施给宽城区人民带来福祉，产生很好的社会效益和经济效益。</w:t>
      </w:r>
    </w:p>
    <w:tbl>
      <w:tblPr>
        <w:tblStyle w:val="14"/>
        <w:tblW w:w="7904" w:type="dxa"/>
        <w:tblInd w:w="40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
        <w:gridCol w:w="1876"/>
        <w:gridCol w:w="1800"/>
        <w:gridCol w:w="2034"/>
        <w:gridCol w:w="3"/>
        <w:gridCol w:w="2185"/>
        <w:gridCol w:w="3"/>
      </w:tblGrid>
      <w:tr w14:paraId="2557F2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3" w:type="dxa"/>
          <w:trHeight w:val="340" w:hRule="atLeast"/>
        </w:trPr>
        <w:tc>
          <w:tcPr>
            <w:tcW w:w="7901" w:type="dxa"/>
            <w:gridSpan w:val="6"/>
            <w:tcBorders>
              <w:top w:val="nil"/>
              <w:left w:val="nil"/>
              <w:bottom w:val="single" w:color="auto" w:sz="4" w:space="0"/>
              <w:right w:val="nil"/>
            </w:tcBorders>
            <w:vAlign w:val="center"/>
          </w:tcPr>
          <w:p w14:paraId="6235B5A4">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eastAsia" w:ascii="宋体" w:hAnsi="宋体" w:eastAsiaTheme="minorEastAsia" w:cstheme="minorEastAsia"/>
                <w:b/>
                <w:bCs/>
                <w:spacing w:val="6"/>
                <w:sz w:val="18"/>
                <w:szCs w:val="18"/>
                <w:highlight w:val="none"/>
              </w:rPr>
            </w:pPr>
            <w:r>
              <w:rPr>
                <w:rFonts w:hint="eastAsia" w:ascii="宋体" w:hAnsi="宋体" w:eastAsiaTheme="minorEastAsia" w:cstheme="minorEastAsia"/>
                <w:b/>
                <w:bCs/>
                <w:spacing w:val="-10"/>
                <w:sz w:val="18"/>
                <w:szCs w:val="18"/>
                <w:highlight w:val="none"/>
              </w:rPr>
              <w:t>表</w:t>
            </w:r>
            <w:r>
              <w:rPr>
                <w:rFonts w:hint="eastAsia" w:ascii="宋体" w:hAnsi="宋体" w:eastAsiaTheme="minorEastAsia" w:cstheme="minorEastAsia"/>
                <w:b/>
                <w:bCs/>
                <w:spacing w:val="-6"/>
                <w:sz w:val="18"/>
                <w:szCs w:val="18"/>
                <w:highlight w:val="none"/>
                <w:lang w:val="en-US" w:eastAsia="zh-CN"/>
              </w:rPr>
              <w:t>2</w:t>
            </w:r>
            <w:r>
              <w:rPr>
                <w:rFonts w:hint="eastAsia" w:ascii="宋体" w:hAnsi="宋体" w:eastAsiaTheme="minorEastAsia" w:cstheme="minorEastAsia"/>
                <w:b/>
                <w:bCs/>
                <w:spacing w:val="-6"/>
                <w:sz w:val="18"/>
                <w:szCs w:val="18"/>
                <w:highlight w:val="none"/>
              </w:rPr>
              <w:t>：绩效评价得分汇总表</w:t>
            </w:r>
            <w:r>
              <w:rPr>
                <w:rFonts w:hint="eastAsia" w:ascii="宋体" w:hAnsi="宋体" w:eastAsiaTheme="minorEastAsia" w:cstheme="minorEastAsia"/>
                <w:b/>
                <w:bCs/>
                <w:spacing w:val="-6"/>
                <w:sz w:val="18"/>
                <w:szCs w:val="18"/>
                <w:highlight w:val="none"/>
                <w:lang w:eastAsia="zh-CN"/>
              </w:rPr>
              <w:t>（</w:t>
            </w:r>
            <w:r>
              <w:rPr>
                <w:rFonts w:hint="eastAsia" w:ascii="宋体" w:hAnsi="宋体" w:eastAsiaTheme="minorEastAsia" w:cstheme="minorEastAsia"/>
                <w:b/>
                <w:bCs/>
                <w:spacing w:val="-6"/>
                <w:sz w:val="18"/>
                <w:szCs w:val="18"/>
                <w:highlight w:val="none"/>
              </w:rPr>
              <w:t>详见附件1)</w:t>
            </w:r>
          </w:p>
        </w:tc>
      </w:tr>
      <w:tr w14:paraId="55DFDE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3" w:type="dxa"/>
          <w:trHeight w:val="340" w:hRule="atLeast"/>
        </w:trPr>
        <w:tc>
          <w:tcPr>
            <w:tcW w:w="1876" w:type="dxa"/>
            <w:tcBorders>
              <w:top w:val="single" w:color="auto" w:sz="4" w:space="0"/>
            </w:tcBorders>
            <w:vAlign w:val="center"/>
          </w:tcPr>
          <w:p w14:paraId="1DA26529">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eastAsia" w:ascii="宋体" w:hAnsi="宋体" w:eastAsiaTheme="minorEastAsia" w:cstheme="minorEastAsia"/>
                <w:b/>
                <w:bCs/>
                <w:sz w:val="18"/>
                <w:szCs w:val="18"/>
                <w:highlight w:val="none"/>
              </w:rPr>
            </w:pPr>
            <w:r>
              <w:rPr>
                <w:rFonts w:hint="eastAsia" w:ascii="宋体" w:hAnsi="宋体" w:eastAsiaTheme="minorEastAsia" w:cstheme="minorEastAsia"/>
                <w:b/>
                <w:bCs/>
                <w:spacing w:val="4"/>
                <w:sz w:val="18"/>
                <w:szCs w:val="18"/>
                <w:highlight w:val="none"/>
              </w:rPr>
              <w:t>一级指</w:t>
            </w:r>
            <w:r>
              <w:rPr>
                <w:rFonts w:hint="eastAsia" w:ascii="宋体" w:hAnsi="宋体" w:eastAsiaTheme="minorEastAsia" w:cstheme="minorEastAsia"/>
                <w:b/>
                <w:bCs/>
                <w:spacing w:val="3"/>
                <w:sz w:val="18"/>
                <w:szCs w:val="18"/>
                <w:highlight w:val="none"/>
              </w:rPr>
              <w:t>标</w:t>
            </w:r>
          </w:p>
        </w:tc>
        <w:tc>
          <w:tcPr>
            <w:tcW w:w="1800" w:type="dxa"/>
            <w:tcBorders>
              <w:top w:val="single" w:color="auto" w:sz="4" w:space="0"/>
            </w:tcBorders>
            <w:vAlign w:val="center"/>
          </w:tcPr>
          <w:p w14:paraId="355946AC">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eastAsia" w:ascii="宋体" w:hAnsi="宋体" w:eastAsiaTheme="minorEastAsia" w:cstheme="minorEastAsia"/>
                <w:b/>
                <w:bCs/>
                <w:sz w:val="18"/>
                <w:szCs w:val="18"/>
                <w:highlight w:val="none"/>
              </w:rPr>
            </w:pPr>
            <w:r>
              <w:rPr>
                <w:rFonts w:hint="eastAsia" w:ascii="宋体" w:hAnsi="宋体" w:eastAsiaTheme="minorEastAsia" w:cstheme="minorEastAsia"/>
                <w:b/>
                <w:bCs/>
                <w:spacing w:val="6"/>
                <w:sz w:val="18"/>
                <w:szCs w:val="18"/>
                <w:highlight w:val="none"/>
              </w:rPr>
              <w:t>分</w:t>
            </w:r>
            <w:r>
              <w:rPr>
                <w:rFonts w:hint="eastAsia" w:ascii="宋体" w:hAnsi="宋体" w:eastAsiaTheme="minorEastAsia" w:cstheme="minorEastAsia"/>
                <w:b/>
                <w:bCs/>
                <w:spacing w:val="4"/>
                <w:sz w:val="18"/>
                <w:szCs w:val="18"/>
                <w:highlight w:val="none"/>
              </w:rPr>
              <w:t>值</w:t>
            </w:r>
          </w:p>
        </w:tc>
        <w:tc>
          <w:tcPr>
            <w:tcW w:w="2037" w:type="dxa"/>
            <w:gridSpan w:val="2"/>
            <w:tcBorders>
              <w:top w:val="single" w:color="auto" w:sz="4" w:space="0"/>
            </w:tcBorders>
            <w:vAlign w:val="center"/>
          </w:tcPr>
          <w:p w14:paraId="2185600B">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eastAsia" w:ascii="宋体" w:hAnsi="宋体" w:eastAsiaTheme="minorEastAsia" w:cstheme="minorEastAsia"/>
                <w:b/>
                <w:bCs/>
                <w:sz w:val="18"/>
                <w:szCs w:val="18"/>
                <w:highlight w:val="none"/>
              </w:rPr>
            </w:pPr>
            <w:r>
              <w:rPr>
                <w:rFonts w:hint="eastAsia" w:ascii="宋体" w:hAnsi="宋体" w:eastAsiaTheme="minorEastAsia" w:cstheme="minorEastAsia"/>
                <w:b/>
                <w:bCs/>
                <w:spacing w:val="6"/>
                <w:sz w:val="18"/>
                <w:szCs w:val="18"/>
                <w:highlight w:val="none"/>
              </w:rPr>
              <w:t>得</w:t>
            </w:r>
            <w:r>
              <w:rPr>
                <w:rFonts w:hint="eastAsia" w:ascii="宋体" w:hAnsi="宋体" w:eastAsiaTheme="minorEastAsia" w:cstheme="minorEastAsia"/>
                <w:b/>
                <w:bCs/>
                <w:spacing w:val="4"/>
                <w:sz w:val="18"/>
                <w:szCs w:val="18"/>
                <w:highlight w:val="none"/>
              </w:rPr>
              <w:t>分</w:t>
            </w:r>
          </w:p>
        </w:tc>
        <w:tc>
          <w:tcPr>
            <w:tcW w:w="2188" w:type="dxa"/>
            <w:gridSpan w:val="2"/>
            <w:tcBorders>
              <w:top w:val="single" w:color="auto" w:sz="4" w:space="0"/>
            </w:tcBorders>
            <w:vAlign w:val="center"/>
          </w:tcPr>
          <w:p w14:paraId="5AFD7D83">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eastAsia" w:ascii="宋体" w:hAnsi="宋体" w:eastAsiaTheme="minorEastAsia" w:cstheme="minorEastAsia"/>
                <w:b/>
                <w:bCs/>
                <w:sz w:val="18"/>
                <w:szCs w:val="18"/>
                <w:highlight w:val="none"/>
              </w:rPr>
            </w:pPr>
            <w:r>
              <w:rPr>
                <w:rFonts w:hint="eastAsia" w:ascii="宋体" w:hAnsi="宋体" w:eastAsiaTheme="minorEastAsia" w:cstheme="minorEastAsia"/>
                <w:b/>
                <w:bCs/>
                <w:spacing w:val="6"/>
                <w:sz w:val="18"/>
                <w:szCs w:val="18"/>
                <w:highlight w:val="none"/>
              </w:rPr>
              <w:t>得</w:t>
            </w:r>
            <w:r>
              <w:rPr>
                <w:rFonts w:hint="eastAsia" w:ascii="宋体" w:hAnsi="宋体" w:eastAsiaTheme="minorEastAsia" w:cstheme="minorEastAsia"/>
                <w:b/>
                <w:bCs/>
                <w:spacing w:val="5"/>
                <w:sz w:val="18"/>
                <w:szCs w:val="18"/>
                <w:highlight w:val="none"/>
              </w:rPr>
              <w:t>分率</w:t>
            </w:r>
          </w:p>
        </w:tc>
      </w:tr>
      <w:tr w14:paraId="03DC3E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3" w:type="dxa"/>
          <w:trHeight w:val="340" w:hRule="atLeast"/>
        </w:trPr>
        <w:tc>
          <w:tcPr>
            <w:tcW w:w="1876" w:type="dxa"/>
            <w:vAlign w:val="center"/>
          </w:tcPr>
          <w:p w14:paraId="5E27D480">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eastAsia" w:ascii="宋体" w:hAnsi="宋体" w:eastAsiaTheme="minorEastAsia" w:cstheme="minorEastAsia"/>
                <w:sz w:val="18"/>
                <w:szCs w:val="18"/>
                <w:highlight w:val="none"/>
              </w:rPr>
            </w:pPr>
            <w:r>
              <w:rPr>
                <w:rFonts w:hint="eastAsia" w:ascii="宋体" w:hAnsi="宋体" w:eastAsiaTheme="minorEastAsia" w:cstheme="minorEastAsia"/>
                <w:spacing w:val="5"/>
                <w:sz w:val="18"/>
                <w:szCs w:val="18"/>
                <w:highlight w:val="none"/>
              </w:rPr>
              <w:t>决</w:t>
            </w:r>
            <w:r>
              <w:rPr>
                <w:rFonts w:hint="eastAsia" w:ascii="宋体" w:hAnsi="宋体" w:eastAsiaTheme="minorEastAsia" w:cstheme="minorEastAsia"/>
                <w:spacing w:val="4"/>
                <w:sz w:val="18"/>
                <w:szCs w:val="18"/>
                <w:highlight w:val="none"/>
              </w:rPr>
              <w:t>策</w:t>
            </w:r>
          </w:p>
        </w:tc>
        <w:tc>
          <w:tcPr>
            <w:tcW w:w="1800" w:type="dxa"/>
            <w:vAlign w:val="center"/>
          </w:tcPr>
          <w:p w14:paraId="7BAB35B0">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default" w:ascii="宋体" w:hAnsi="宋体" w:eastAsiaTheme="minorEastAsia" w:cstheme="minorEastAsia"/>
                <w:sz w:val="18"/>
                <w:szCs w:val="18"/>
                <w:highlight w:val="none"/>
                <w:lang w:val="en-US" w:eastAsia="zh-CN"/>
              </w:rPr>
            </w:pPr>
            <w:r>
              <w:rPr>
                <w:rFonts w:hint="eastAsia" w:ascii="宋体" w:hAnsi="宋体" w:eastAsiaTheme="minorEastAsia" w:cstheme="minorEastAsia"/>
                <w:spacing w:val="-5"/>
                <w:sz w:val="18"/>
                <w:szCs w:val="18"/>
                <w:highlight w:val="none"/>
                <w:lang w:val="en-US" w:eastAsia="zh-CN"/>
              </w:rPr>
              <w:t>25</w:t>
            </w:r>
          </w:p>
        </w:tc>
        <w:tc>
          <w:tcPr>
            <w:tcW w:w="2037" w:type="dxa"/>
            <w:gridSpan w:val="2"/>
            <w:vAlign w:val="center"/>
          </w:tcPr>
          <w:p w14:paraId="12BBD2FE">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default" w:ascii="宋体" w:hAnsi="宋体" w:eastAsiaTheme="minorEastAsia" w:cstheme="minorEastAsia"/>
                <w:sz w:val="18"/>
                <w:szCs w:val="18"/>
                <w:highlight w:val="none"/>
                <w:lang w:val="en-US" w:eastAsia="zh-CN"/>
              </w:rPr>
            </w:pPr>
            <w:r>
              <w:rPr>
                <w:rFonts w:hint="eastAsia" w:ascii="宋体" w:hAnsi="宋体" w:eastAsiaTheme="minorEastAsia" w:cstheme="minorEastAsia"/>
                <w:sz w:val="18"/>
                <w:szCs w:val="18"/>
                <w:highlight w:val="none"/>
                <w:lang w:val="en-US" w:eastAsia="zh-CN"/>
              </w:rPr>
              <w:t>25</w:t>
            </w:r>
          </w:p>
        </w:tc>
        <w:tc>
          <w:tcPr>
            <w:tcW w:w="2188" w:type="dxa"/>
            <w:gridSpan w:val="2"/>
            <w:vAlign w:val="center"/>
          </w:tcPr>
          <w:p w14:paraId="41BF0EBD">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eastAsia" w:ascii="宋体" w:hAnsi="宋体" w:eastAsiaTheme="minorEastAsia" w:cstheme="minorEastAsia"/>
                <w:sz w:val="18"/>
                <w:szCs w:val="18"/>
                <w:highlight w:val="none"/>
                <w:lang w:val="en-US" w:eastAsia="zh-CN"/>
              </w:rPr>
            </w:pPr>
            <w:r>
              <w:rPr>
                <w:rFonts w:hint="eastAsia" w:ascii="宋体" w:hAnsi="宋体" w:eastAsiaTheme="minorEastAsia" w:cstheme="minorEastAsia"/>
                <w:sz w:val="18"/>
                <w:szCs w:val="18"/>
                <w:highlight w:val="none"/>
                <w:lang w:val="en-US" w:eastAsia="zh-CN"/>
              </w:rPr>
              <w:t>100.00%</w:t>
            </w:r>
          </w:p>
        </w:tc>
      </w:tr>
      <w:tr w14:paraId="6B49F0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1"/>
          <w:wBefore w:w="3" w:type="dxa"/>
          <w:trHeight w:val="340" w:hRule="atLeast"/>
        </w:trPr>
        <w:tc>
          <w:tcPr>
            <w:tcW w:w="1876" w:type="dxa"/>
            <w:vAlign w:val="center"/>
          </w:tcPr>
          <w:p w14:paraId="2638781C">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eastAsia" w:ascii="宋体" w:hAnsi="宋体" w:eastAsiaTheme="minorEastAsia" w:cstheme="minorEastAsia"/>
                <w:sz w:val="18"/>
                <w:szCs w:val="18"/>
                <w:highlight w:val="none"/>
                <w:lang w:eastAsia="zh-CN"/>
              </w:rPr>
            </w:pPr>
            <w:r>
              <w:rPr>
                <w:rFonts w:hint="eastAsia" w:ascii="宋体" w:hAnsi="宋体" w:eastAsiaTheme="minorEastAsia" w:cstheme="minorEastAsia"/>
                <w:spacing w:val="4"/>
                <w:sz w:val="18"/>
                <w:szCs w:val="18"/>
                <w:highlight w:val="none"/>
                <w:lang w:val="en-US" w:eastAsia="zh-CN"/>
              </w:rPr>
              <w:t>管理</w:t>
            </w:r>
          </w:p>
        </w:tc>
        <w:tc>
          <w:tcPr>
            <w:tcW w:w="1800" w:type="dxa"/>
            <w:vAlign w:val="center"/>
          </w:tcPr>
          <w:p w14:paraId="798F2124">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eastAsia" w:ascii="宋体" w:hAnsi="宋体" w:eastAsiaTheme="minorEastAsia" w:cstheme="minorEastAsia"/>
                <w:sz w:val="18"/>
                <w:szCs w:val="18"/>
                <w:highlight w:val="none"/>
              </w:rPr>
            </w:pPr>
            <w:r>
              <w:rPr>
                <w:rFonts w:hint="eastAsia" w:ascii="宋体" w:hAnsi="宋体" w:eastAsiaTheme="minorEastAsia" w:cstheme="minorEastAsia"/>
                <w:spacing w:val="-5"/>
                <w:sz w:val="18"/>
                <w:szCs w:val="18"/>
                <w:highlight w:val="none"/>
              </w:rPr>
              <w:t>2</w:t>
            </w:r>
            <w:r>
              <w:rPr>
                <w:rFonts w:hint="eastAsia" w:ascii="宋体" w:hAnsi="宋体" w:eastAsiaTheme="minorEastAsia" w:cstheme="minorEastAsia"/>
                <w:spacing w:val="-4"/>
                <w:sz w:val="18"/>
                <w:szCs w:val="18"/>
                <w:highlight w:val="none"/>
              </w:rPr>
              <w:t>0</w:t>
            </w:r>
          </w:p>
        </w:tc>
        <w:tc>
          <w:tcPr>
            <w:tcW w:w="2037" w:type="dxa"/>
            <w:gridSpan w:val="2"/>
            <w:vAlign w:val="center"/>
          </w:tcPr>
          <w:p w14:paraId="4A66AEEE">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default" w:ascii="宋体" w:hAnsi="宋体" w:eastAsiaTheme="minorEastAsia" w:cstheme="minorEastAsia"/>
                <w:sz w:val="18"/>
                <w:szCs w:val="18"/>
                <w:highlight w:val="none"/>
                <w:lang w:val="en-US" w:eastAsia="zh-CN"/>
              </w:rPr>
            </w:pPr>
            <w:r>
              <w:rPr>
                <w:rFonts w:hint="eastAsia" w:ascii="宋体" w:hAnsi="宋体" w:eastAsiaTheme="minorEastAsia" w:cstheme="minorEastAsia"/>
                <w:sz w:val="18"/>
                <w:szCs w:val="18"/>
                <w:highlight w:val="none"/>
                <w:lang w:val="en-US" w:eastAsia="zh-CN"/>
              </w:rPr>
              <w:t>18</w:t>
            </w:r>
          </w:p>
        </w:tc>
        <w:tc>
          <w:tcPr>
            <w:tcW w:w="2188" w:type="dxa"/>
            <w:gridSpan w:val="2"/>
            <w:vAlign w:val="center"/>
          </w:tcPr>
          <w:p w14:paraId="6BE66DFD">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eastAsia" w:ascii="宋体" w:hAnsi="宋体" w:eastAsiaTheme="minorEastAsia" w:cstheme="minorEastAsia"/>
                <w:sz w:val="18"/>
                <w:szCs w:val="18"/>
                <w:highlight w:val="none"/>
                <w:lang w:val="en-US" w:eastAsia="zh-CN"/>
              </w:rPr>
            </w:pPr>
            <w:r>
              <w:rPr>
                <w:rFonts w:hint="eastAsia" w:ascii="宋体" w:hAnsi="宋体" w:eastAsiaTheme="minorEastAsia" w:cstheme="minorEastAsia"/>
                <w:sz w:val="18"/>
                <w:szCs w:val="18"/>
                <w:highlight w:val="none"/>
                <w:lang w:val="en-US" w:eastAsia="zh-CN"/>
              </w:rPr>
              <w:t>90.00%</w:t>
            </w:r>
          </w:p>
        </w:tc>
      </w:tr>
      <w:tr w14:paraId="6DE390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 w:type="dxa"/>
          <w:trHeight w:val="340" w:hRule="atLeast"/>
        </w:trPr>
        <w:tc>
          <w:tcPr>
            <w:tcW w:w="1879" w:type="dxa"/>
            <w:gridSpan w:val="2"/>
            <w:vAlign w:val="center"/>
          </w:tcPr>
          <w:p w14:paraId="5CF2DEDB">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eastAsia" w:ascii="宋体" w:hAnsi="宋体" w:eastAsiaTheme="minorEastAsia" w:cstheme="minorEastAsia"/>
                <w:sz w:val="18"/>
                <w:szCs w:val="18"/>
                <w:highlight w:val="none"/>
              </w:rPr>
            </w:pPr>
            <w:bookmarkStart w:id="72" w:name="_bookmark17"/>
            <w:bookmarkEnd w:id="72"/>
            <w:bookmarkStart w:id="73" w:name="_bookmark19"/>
            <w:bookmarkEnd w:id="73"/>
            <w:r>
              <w:rPr>
                <w:rFonts w:hint="eastAsia" w:ascii="宋体" w:hAnsi="宋体" w:eastAsiaTheme="minorEastAsia" w:cstheme="minorEastAsia"/>
                <w:spacing w:val="14"/>
                <w:sz w:val="18"/>
                <w:szCs w:val="18"/>
                <w:highlight w:val="none"/>
              </w:rPr>
              <w:t>产</w:t>
            </w:r>
            <w:r>
              <w:rPr>
                <w:rFonts w:hint="eastAsia" w:ascii="宋体" w:hAnsi="宋体" w:eastAsiaTheme="minorEastAsia" w:cstheme="minorEastAsia"/>
                <w:spacing w:val="12"/>
                <w:sz w:val="18"/>
                <w:szCs w:val="18"/>
                <w:highlight w:val="none"/>
              </w:rPr>
              <w:t>出</w:t>
            </w:r>
          </w:p>
        </w:tc>
        <w:tc>
          <w:tcPr>
            <w:tcW w:w="1800" w:type="dxa"/>
            <w:vAlign w:val="center"/>
          </w:tcPr>
          <w:p w14:paraId="3AEF5248">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eastAsia" w:ascii="宋体" w:hAnsi="宋体" w:eastAsiaTheme="minorEastAsia" w:cstheme="minorEastAsia"/>
                <w:sz w:val="18"/>
                <w:szCs w:val="18"/>
                <w:highlight w:val="none"/>
                <w:lang w:val="en-US" w:eastAsia="zh-CN"/>
              </w:rPr>
            </w:pPr>
            <w:r>
              <w:rPr>
                <w:rFonts w:hint="eastAsia" w:ascii="宋体" w:hAnsi="宋体" w:eastAsiaTheme="minorEastAsia" w:cstheme="minorEastAsia"/>
                <w:spacing w:val="-10"/>
                <w:sz w:val="18"/>
                <w:szCs w:val="18"/>
                <w:highlight w:val="none"/>
              </w:rPr>
              <w:t>3</w:t>
            </w:r>
            <w:r>
              <w:rPr>
                <w:rFonts w:hint="eastAsia" w:ascii="宋体" w:hAnsi="宋体" w:eastAsiaTheme="minorEastAsia" w:cstheme="minorEastAsia"/>
                <w:spacing w:val="-10"/>
                <w:sz w:val="18"/>
                <w:szCs w:val="18"/>
                <w:highlight w:val="none"/>
                <w:lang w:val="en-US" w:eastAsia="zh-CN"/>
              </w:rPr>
              <w:t>5</w:t>
            </w:r>
          </w:p>
        </w:tc>
        <w:tc>
          <w:tcPr>
            <w:tcW w:w="2034" w:type="dxa"/>
            <w:vAlign w:val="center"/>
          </w:tcPr>
          <w:p w14:paraId="2B89D3B9">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default" w:ascii="宋体" w:hAnsi="宋体" w:eastAsiaTheme="minorEastAsia" w:cstheme="minorEastAsia"/>
                <w:sz w:val="18"/>
                <w:szCs w:val="18"/>
                <w:highlight w:val="none"/>
                <w:lang w:val="en-US" w:eastAsia="zh-CN"/>
              </w:rPr>
            </w:pPr>
            <w:r>
              <w:rPr>
                <w:rFonts w:hint="eastAsia" w:ascii="宋体" w:hAnsi="宋体" w:eastAsiaTheme="minorEastAsia" w:cstheme="minorEastAsia"/>
                <w:sz w:val="18"/>
                <w:szCs w:val="18"/>
                <w:highlight w:val="none"/>
                <w:lang w:val="en-US" w:eastAsia="zh-CN"/>
              </w:rPr>
              <w:t>32</w:t>
            </w:r>
          </w:p>
        </w:tc>
        <w:tc>
          <w:tcPr>
            <w:tcW w:w="2188" w:type="dxa"/>
            <w:gridSpan w:val="2"/>
            <w:vAlign w:val="center"/>
          </w:tcPr>
          <w:p w14:paraId="1E9D53A8">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default" w:ascii="宋体" w:hAnsi="宋体" w:eastAsiaTheme="minorEastAsia" w:cstheme="minorEastAsia"/>
                <w:sz w:val="18"/>
                <w:szCs w:val="18"/>
                <w:highlight w:val="none"/>
                <w:lang w:val="en-US" w:eastAsia="zh-CN"/>
              </w:rPr>
            </w:pPr>
            <w:r>
              <w:rPr>
                <w:rFonts w:hint="eastAsia" w:ascii="宋体" w:hAnsi="宋体" w:eastAsiaTheme="minorEastAsia" w:cstheme="minorEastAsia"/>
                <w:sz w:val="18"/>
                <w:szCs w:val="18"/>
                <w:highlight w:val="none"/>
                <w:lang w:val="en-US" w:eastAsia="zh-CN"/>
              </w:rPr>
              <w:t>91.43%</w:t>
            </w:r>
          </w:p>
        </w:tc>
      </w:tr>
      <w:tr w14:paraId="67A311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 w:type="dxa"/>
          <w:trHeight w:val="340" w:hRule="atLeast"/>
        </w:trPr>
        <w:tc>
          <w:tcPr>
            <w:tcW w:w="1879" w:type="dxa"/>
            <w:gridSpan w:val="2"/>
            <w:vAlign w:val="center"/>
          </w:tcPr>
          <w:p w14:paraId="1364F1DE">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eastAsia" w:ascii="宋体" w:hAnsi="宋体" w:eastAsiaTheme="minorEastAsia" w:cstheme="minorEastAsia"/>
                <w:sz w:val="18"/>
                <w:szCs w:val="18"/>
                <w:highlight w:val="none"/>
                <w:lang w:eastAsia="zh-CN"/>
              </w:rPr>
            </w:pPr>
            <w:r>
              <w:rPr>
                <w:rFonts w:hint="eastAsia" w:ascii="宋体" w:hAnsi="宋体" w:eastAsiaTheme="minorEastAsia" w:cstheme="minorEastAsia"/>
                <w:spacing w:val="5"/>
                <w:sz w:val="18"/>
                <w:szCs w:val="18"/>
                <w:highlight w:val="none"/>
              </w:rPr>
              <w:t>效</w:t>
            </w:r>
            <w:r>
              <w:rPr>
                <w:rFonts w:hint="eastAsia" w:ascii="宋体" w:hAnsi="宋体" w:eastAsiaTheme="minorEastAsia" w:cstheme="minorEastAsia"/>
                <w:spacing w:val="3"/>
                <w:sz w:val="18"/>
                <w:szCs w:val="18"/>
                <w:highlight w:val="none"/>
                <w:lang w:val="en-US" w:eastAsia="zh-CN"/>
              </w:rPr>
              <w:t>益</w:t>
            </w:r>
          </w:p>
        </w:tc>
        <w:tc>
          <w:tcPr>
            <w:tcW w:w="1800" w:type="dxa"/>
            <w:vAlign w:val="center"/>
          </w:tcPr>
          <w:p w14:paraId="511D7AD3">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default" w:ascii="宋体" w:hAnsi="宋体" w:eastAsiaTheme="minorEastAsia" w:cstheme="minorEastAsia"/>
                <w:sz w:val="18"/>
                <w:szCs w:val="18"/>
                <w:highlight w:val="none"/>
                <w:lang w:val="en-US" w:eastAsia="zh-CN"/>
              </w:rPr>
            </w:pPr>
            <w:r>
              <w:rPr>
                <w:rFonts w:hint="eastAsia" w:ascii="宋体" w:hAnsi="宋体" w:eastAsiaTheme="minorEastAsia" w:cstheme="minorEastAsia"/>
                <w:spacing w:val="-5"/>
                <w:sz w:val="18"/>
                <w:szCs w:val="18"/>
                <w:highlight w:val="none"/>
                <w:lang w:val="en-US" w:eastAsia="zh-CN"/>
              </w:rPr>
              <w:t>20</w:t>
            </w:r>
          </w:p>
        </w:tc>
        <w:tc>
          <w:tcPr>
            <w:tcW w:w="2034" w:type="dxa"/>
            <w:vAlign w:val="center"/>
          </w:tcPr>
          <w:p w14:paraId="002723BF">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eastAsia" w:ascii="宋体" w:hAnsi="宋体" w:eastAsiaTheme="minorEastAsia" w:cstheme="minorEastAsia"/>
                <w:sz w:val="18"/>
                <w:szCs w:val="18"/>
                <w:highlight w:val="none"/>
                <w:lang w:val="en-US" w:eastAsia="zh-CN"/>
              </w:rPr>
            </w:pPr>
            <w:r>
              <w:rPr>
                <w:rFonts w:hint="eastAsia" w:ascii="宋体" w:hAnsi="宋体" w:eastAsiaTheme="minorEastAsia" w:cstheme="minorEastAsia"/>
                <w:sz w:val="18"/>
                <w:szCs w:val="18"/>
                <w:highlight w:val="none"/>
                <w:lang w:val="en-US" w:eastAsia="zh-CN"/>
              </w:rPr>
              <w:t>20</w:t>
            </w:r>
          </w:p>
        </w:tc>
        <w:tc>
          <w:tcPr>
            <w:tcW w:w="2188" w:type="dxa"/>
            <w:gridSpan w:val="2"/>
            <w:vAlign w:val="center"/>
          </w:tcPr>
          <w:p w14:paraId="18152A61">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eastAsia" w:ascii="宋体" w:hAnsi="宋体" w:eastAsiaTheme="minorEastAsia" w:cstheme="minorEastAsia"/>
                <w:sz w:val="18"/>
                <w:szCs w:val="18"/>
                <w:highlight w:val="none"/>
                <w:lang w:val="en-US" w:eastAsia="zh-CN"/>
              </w:rPr>
            </w:pPr>
            <w:r>
              <w:rPr>
                <w:rFonts w:hint="eastAsia" w:ascii="宋体" w:hAnsi="宋体" w:eastAsiaTheme="minorEastAsia" w:cstheme="minorEastAsia"/>
                <w:sz w:val="18"/>
                <w:szCs w:val="18"/>
                <w:highlight w:val="none"/>
                <w:lang w:val="en-US" w:eastAsia="zh-CN"/>
              </w:rPr>
              <w:t>100.00%</w:t>
            </w:r>
          </w:p>
        </w:tc>
      </w:tr>
      <w:tr w14:paraId="11666D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3" w:type="dxa"/>
          <w:trHeight w:val="340" w:hRule="atLeast"/>
        </w:trPr>
        <w:tc>
          <w:tcPr>
            <w:tcW w:w="1879" w:type="dxa"/>
            <w:gridSpan w:val="2"/>
            <w:vAlign w:val="center"/>
          </w:tcPr>
          <w:p w14:paraId="17F6CA07">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eastAsia" w:ascii="宋体" w:hAnsi="宋体" w:eastAsiaTheme="minorEastAsia" w:cstheme="minorEastAsia"/>
                <w:sz w:val="18"/>
                <w:szCs w:val="18"/>
                <w:highlight w:val="none"/>
              </w:rPr>
            </w:pPr>
            <w:r>
              <w:rPr>
                <w:rFonts w:hint="eastAsia" w:ascii="宋体" w:hAnsi="宋体" w:eastAsiaTheme="minorEastAsia" w:cstheme="minorEastAsia"/>
                <w:spacing w:val="7"/>
                <w:sz w:val="18"/>
                <w:szCs w:val="18"/>
                <w:highlight w:val="none"/>
              </w:rPr>
              <w:t>合</w:t>
            </w:r>
            <w:r>
              <w:rPr>
                <w:rFonts w:hint="eastAsia" w:ascii="宋体" w:hAnsi="宋体" w:eastAsiaTheme="minorEastAsia" w:cstheme="minorEastAsia"/>
                <w:spacing w:val="5"/>
                <w:sz w:val="18"/>
                <w:szCs w:val="18"/>
                <w:highlight w:val="none"/>
              </w:rPr>
              <w:t>计</w:t>
            </w:r>
          </w:p>
        </w:tc>
        <w:tc>
          <w:tcPr>
            <w:tcW w:w="1800" w:type="dxa"/>
            <w:vAlign w:val="center"/>
          </w:tcPr>
          <w:p w14:paraId="7DAAB54D">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eastAsia" w:ascii="宋体" w:hAnsi="宋体" w:eastAsiaTheme="minorEastAsia" w:cstheme="minorEastAsia"/>
                <w:sz w:val="18"/>
                <w:szCs w:val="18"/>
                <w:highlight w:val="none"/>
              </w:rPr>
            </w:pPr>
            <w:r>
              <w:rPr>
                <w:rFonts w:hint="eastAsia" w:ascii="宋体" w:hAnsi="宋体" w:eastAsiaTheme="minorEastAsia" w:cstheme="minorEastAsia"/>
                <w:spacing w:val="-4"/>
                <w:sz w:val="18"/>
                <w:szCs w:val="18"/>
                <w:highlight w:val="none"/>
              </w:rPr>
              <w:t>1</w:t>
            </w:r>
            <w:r>
              <w:rPr>
                <w:rFonts w:hint="eastAsia" w:ascii="宋体" w:hAnsi="宋体" w:eastAsiaTheme="minorEastAsia" w:cstheme="minorEastAsia"/>
                <w:spacing w:val="-3"/>
                <w:sz w:val="18"/>
                <w:szCs w:val="18"/>
                <w:highlight w:val="none"/>
              </w:rPr>
              <w:t>00</w:t>
            </w:r>
          </w:p>
        </w:tc>
        <w:tc>
          <w:tcPr>
            <w:tcW w:w="2034" w:type="dxa"/>
            <w:vAlign w:val="center"/>
          </w:tcPr>
          <w:p w14:paraId="2CE29CA5">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default" w:ascii="宋体" w:hAnsi="宋体" w:eastAsiaTheme="minorEastAsia" w:cstheme="minorEastAsia"/>
                <w:sz w:val="18"/>
                <w:szCs w:val="18"/>
                <w:highlight w:val="none"/>
                <w:lang w:val="en-US" w:eastAsia="zh-CN"/>
              </w:rPr>
            </w:pPr>
            <w:r>
              <w:rPr>
                <w:rFonts w:hint="eastAsia" w:ascii="宋体" w:hAnsi="宋体" w:eastAsiaTheme="minorEastAsia" w:cstheme="minorEastAsia"/>
                <w:sz w:val="18"/>
                <w:szCs w:val="18"/>
                <w:highlight w:val="none"/>
                <w:lang w:val="en-US" w:eastAsia="zh-CN"/>
              </w:rPr>
              <w:t>95</w:t>
            </w:r>
          </w:p>
        </w:tc>
        <w:tc>
          <w:tcPr>
            <w:tcW w:w="2188" w:type="dxa"/>
            <w:gridSpan w:val="2"/>
            <w:vAlign w:val="center"/>
          </w:tcPr>
          <w:p w14:paraId="1607ABE0">
            <w:pPr>
              <w:keepNext w:val="0"/>
              <w:keepLines w:val="0"/>
              <w:pageBreakBefore w:val="0"/>
              <w:widowControl w:val="0"/>
              <w:kinsoku w:val="0"/>
              <w:wordWrap/>
              <w:overflowPunct/>
              <w:topLinePunct w:val="0"/>
              <w:autoSpaceDE w:val="0"/>
              <w:autoSpaceDN w:val="0"/>
              <w:bidi w:val="0"/>
              <w:adjustRightInd w:val="0"/>
              <w:snapToGrid w:val="0"/>
              <w:spacing w:line="240" w:lineRule="exact"/>
              <w:ind w:left="0" w:firstLine="0" w:firstLineChars="0"/>
              <w:jc w:val="center"/>
              <w:textAlignment w:val="baseline"/>
              <w:rPr>
                <w:rFonts w:hint="default" w:ascii="宋体" w:hAnsi="宋体" w:eastAsiaTheme="minorEastAsia" w:cstheme="minorEastAsia"/>
                <w:sz w:val="18"/>
                <w:szCs w:val="18"/>
                <w:highlight w:val="none"/>
                <w:lang w:val="en-US" w:eastAsia="zh-CN"/>
              </w:rPr>
            </w:pPr>
            <w:r>
              <w:rPr>
                <w:rFonts w:hint="eastAsia" w:ascii="宋体" w:hAnsi="宋体" w:eastAsiaTheme="minorEastAsia" w:cstheme="minorEastAsia"/>
                <w:sz w:val="18"/>
                <w:szCs w:val="18"/>
                <w:highlight w:val="none"/>
                <w:lang w:val="en-US" w:eastAsia="zh-CN"/>
              </w:rPr>
              <w:t>95.00%</w:t>
            </w:r>
          </w:p>
        </w:tc>
      </w:tr>
    </w:tbl>
    <w:p w14:paraId="6A749060">
      <w:pPr>
        <w:pStyle w:val="3"/>
        <w:keepNext/>
        <w:keepLines/>
        <w:pageBreakBefore w:val="0"/>
        <w:widowControl/>
        <w:kinsoku w:val="0"/>
        <w:wordWrap/>
        <w:overflowPunct/>
        <w:topLinePunct w:val="0"/>
        <w:autoSpaceDE w:val="0"/>
        <w:autoSpaceDN w:val="0"/>
        <w:bidi w:val="0"/>
        <w:adjustRightInd w:val="0"/>
        <w:snapToGrid w:val="0"/>
        <w:spacing w:before="0" w:beforeLines="50"/>
        <w:textAlignment w:val="baseline"/>
        <w:rPr>
          <w:rFonts w:hint="eastAsia" w:ascii="宋体" w:hAnsi="宋体"/>
        </w:rPr>
      </w:pPr>
      <w:bookmarkStart w:id="74" w:name="_bookmark9"/>
      <w:bookmarkEnd w:id="74"/>
      <w:bookmarkStart w:id="75" w:name="_Toc7377"/>
      <w:r>
        <w:rPr>
          <w:rFonts w:hint="eastAsia" w:ascii="宋体" w:hAnsi="宋体"/>
        </w:rPr>
        <w:t>四、绩效评价指标分析</w:t>
      </w:r>
      <w:bookmarkEnd w:id="75"/>
    </w:p>
    <w:p w14:paraId="4D69DE94">
      <w:pPr>
        <w:pStyle w:val="2"/>
        <w:bidi w:val="0"/>
        <w:rPr>
          <w:rFonts w:hint="eastAsia" w:ascii="宋体" w:hAnsi="宋体"/>
        </w:rPr>
      </w:pPr>
      <w:bookmarkStart w:id="76" w:name="_bookmark15"/>
      <w:bookmarkEnd w:id="76"/>
      <w:bookmarkStart w:id="77" w:name="_bookmark10"/>
      <w:bookmarkEnd w:id="77"/>
      <w:bookmarkStart w:id="78" w:name="_bookmark14"/>
      <w:bookmarkEnd w:id="78"/>
      <w:bookmarkStart w:id="79" w:name="_Toc21959"/>
      <w:r>
        <w:rPr>
          <w:rFonts w:hint="eastAsia" w:ascii="宋体" w:hAnsi="宋体"/>
        </w:rPr>
        <w:t>（一）决策情况分析</w:t>
      </w:r>
      <w:bookmarkEnd w:id="79"/>
    </w:p>
    <w:p w14:paraId="2B969FCC">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spacing w:val="6"/>
          <w:sz w:val="30"/>
          <w:szCs w:val="30"/>
        </w:rPr>
      </w:pPr>
      <w:r>
        <w:rPr>
          <w:rFonts w:hint="eastAsia" w:ascii="宋体" w:hAnsi="宋体" w:eastAsia="仿宋_GB2312" w:cs="仿宋_GB2312"/>
          <w:i w:val="0"/>
          <w:iCs w:val="0"/>
          <w:caps w:val="0"/>
          <w:color w:val="333333"/>
          <w:spacing w:val="6"/>
          <w:sz w:val="30"/>
          <w:szCs w:val="30"/>
          <w:shd w:val="clear" w:fill="FFFFFF"/>
        </w:rPr>
        <w:t>“决策”指标涉及二级指标3个，三级指标</w:t>
      </w:r>
      <w:r>
        <w:rPr>
          <w:rFonts w:hint="eastAsia" w:ascii="宋体" w:hAnsi="宋体" w:cs="仿宋_GB2312"/>
          <w:i w:val="0"/>
          <w:iCs w:val="0"/>
          <w:caps w:val="0"/>
          <w:color w:val="333333"/>
          <w:spacing w:val="6"/>
          <w:sz w:val="30"/>
          <w:szCs w:val="30"/>
          <w:shd w:val="clear" w:fill="FFFFFF"/>
          <w:lang w:val="en-US" w:eastAsia="zh-CN"/>
        </w:rPr>
        <w:t>6</w:t>
      </w:r>
      <w:r>
        <w:rPr>
          <w:rFonts w:hint="eastAsia" w:ascii="宋体" w:hAnsi="宋体" w:eastAsia="仿宋_GB2312" w:cs="仿宋_GB2312"/>
          <w:i w:val="0"/>
          <w:iCs w:val="0"/>
          <w:caps w:val="0"/>
          <w:color w:val="333333"/>
          <w:spacing w:val="6"/>
          <w:sz w:val="30"/>
          <w:szCs w:val="30"/>
          <w:shd w:val="clear" w:fill="FFFFFF"/>
        </w:rPr>
        <w:t>个。总分值为</w:t>
      </w:r>
      <w:r>
        <w:rPr>
          <w:rFonts w:hint="eastAsia" w:ascii="宋体" w:hAnsi="宋体" w:cs="仿宋_GB2312"/>
          <w:i w:val="0"/>
          <w:iCs w:val="0"/>
          <w:caps w:val="0"/>
          <w:color w:val="333333"/>
          <w:spacing w:val="6"/>
          <w:sz w:val="30"/>
          <w:szCs w:val="30"/>
          <w:shd w:val="clear" w:fill="FFFFFF"/>
          <w:lang w:val="en-US" w:eastAsia="zh-CN"/>
        </w:rPr>
        <w:t>25</w:t>
      </w:r>
      <w:r>
        <w:rPr>
          <w:rFonts w:hint="eastAsia" w:ascii="宋体" w:hAnsi="宋体" w:eastAsia="仿宋_GB2312" w:cs="仿宋_GB2312"/>
          <w:i w:val="0"/>
          <w:iCs w:val="0"/>
          <w:caps w:val="0"/>
          <w:color w:val="333333"/>
          <w:spacing w:val="6"/>
          <w:sz w:val="30"/>
          <w:szCs w:val="30"/>
          <w:shd w:val="clear" w:fill="FFFFFF"/>
        </w:rPr>
        <w:t>分，得分</w:t>
      </w:r>
      <w:r>
        <w:rPr>
          <w:rFonts w:hint="eastAsia" w:ascii="宋体" w:hAnsi="宋体" w:cs="仿宋_GB2312"/>
          <w:i w:val="0"/>
          <w:iCs w:val="0"/>
          <w:caps w:val="0"/>
          <w:color w:val="333333"/>
          <w:spacing w:val="6"/>
          <w:sz w:val="30"/>
          <w:szCs w:val="30"/>
          <w:shd w:val="clear" w:fill="FFFFFF"/>
          <w:lang w:val="en-US" w:eastAsia="zh-CN"/>
        </w:rPr>
        <w:t>25</w:t>
      </w:r>
      <w:r>
        <w:rPr>
          <w:rFonts w:hint="eastAsia" w:ascii="宋体" w:hAnsi="宋体" w:eastAsia="仿宋_GB2312" w:cs="仿宋_GB2312"/>
          <w:i w:val="0"/>
          <w:iCs w:val="0"/>
          <w:caps w:val="0"/>
          <w:color w:val="333333"/>
          <w:spacing w:val="6"/>
          <w:sz w:val="30"/>
          <w:szCs w:val="30"/>
          <w:shd w:val="clear" w:fill="FFFFFF"/>
        </w:rPr>
        <w:t>分，得分率为</w:t>
      </w:r>
      <w:r>
        <w:rPr>
          <w:rFonts w:hint="eastAsia" w:ascii="宋体" w:hAnsi="宋体" w:cs="仿宋_GB2312"/>
          <w:i w:val="0"/>
          <w:iCs w:val="0"/>
          <w:caps w:val="0"/>
          <w:color w:val="333333"/>
          <w:spacing w:val="6"/>
          <w:sz w:val="30"/>
          <w:szCs w:val="30"/>
          <w:shd w:val="clear" w:fill="FFFFFF"/>
          <w:lang w:val="en-US" w:eastAsia="zh-CN"/>
        </w:rPr>
        <w:t>100</w:t>
      </w:r>
      <w:r>
        <w:rPr>
          <w:rFonts w:hint="eastAsia" w:ascii="宋体" w:hAnsi="宋体" w:eastAsia="仿宋_GB2312" w:cs="仿宋_GB2312"/>
          <w:i w:val="0"/>
          <w:iCs w:val="0"/>
          <w:caps w:val="0"/>
          <w:color w:val="333333"/>
          <w:spacing w:val="6"/>
          <w:sz w:val="30"/>
          <w:szCs w:val="30"/>
          <w:shd w:val="clear" w:fill="FFFFFF"/>
        </w:rPr>
        <w:t>%。</w:t>
      </w:r>
    </w:p>
    <w:p w14:paraId="48A35B6F">
      <w:pPr>
        <w:pStyle w:val="4"/>
        <w:bidi w:val="0"/>
        <w:rPr>
          <w:rFonts w:hint="eastAsia" w:ascii="宋体" w:hAnsi="宋体"/>
          <w:lang w:eastAsia="zh-CN"/>
        </w:rPr>
      </w:pPr>
      <w:bookmarkStart w:id="80" w:name="_Toc30930"/>
      <w:bookmarkStart w:id="81" w:name="_Toc29163"/>
      <w:bookmarkStart w:id="82" w:name="_Toc30191"/>
      <w:r>
        <w:rPr>
          <w:rFonts w:hint="eastAsia" w:ascii="宋体" w:hAnsi="宋体"/>
        </w:rPr>
        <w:t>1.项目立项</w:t>
      </w:r>
      <w:r>
        <w:rPr>
          <w:rFonts w:hint="eastAsia" w:ascii="宋体" w:hAnsi="宋体"/>
          <w:lang w:eastAsia="zh-CN"/>
        </w:rPr>
        <w:t>（</w:t>
      </w:r>
      <w:r>
        <w:rPr>
          <w:rFonts w:hint="eastAsia" w:ascii="宋体" w:hAnsi="宋体"/>
          <w:lang w:val="en-US" w:eastAsia="zh-CN"/>
        </w:rPr>
        <w:t>满分8分，得分8分</w:t>
      </w:r>
      <w:r>
        <w:rPr>
          <w:rFonts w:hint="eastAsia" w:ascii="宋体" w:hAnsi="宋体"/>
          <w:lang w:eastAsia="zh-CN"/>
        </w:rPr>
        <w:t>）</w:t>
      </w:r>
      <w:bookmarkEnd w:id="80"/>
      <w:bookmarkEnd w:id="81"/>
      <w:bookmarkEnd w:id="82"/>
    </w:p>
    <w:p w14:paraId="4368E6D5">
      <w:pPr>
        <w:pStyle w:val="5"/>
        <w:bidi w:val="0"/>
        <w:rPr>
          <w:rFonts w:hint="eastAsia" w:ascii="宋体" w:hAnsi="宋体"/>
        </w:rPr>
      </w:pPr>
      <w:r>
        <w:rPr>
          <w:rFonts w:hint="eastAsia" w:ascii="宋体" w:hAnsi="宋体"/>
        </w:rPr>
        <w:t>（1）立项依据充分性</w:t>
      </w:r>
    </w:p>
    <w:p w14:paraId="704F9BB2">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shd w:val="clear" w:fill="FFFFFF"/>
        </w:rPr>
      </w:pPr>
      <w:r>
        <w:rPr>
          <w:rFonts w:hint="eastAsia" w:ascii="宋体" w:hAnsi="宋体" w:eastAsia="仿宋_GB2312" w:cs="仿宋_GB2312"/>
          <w:i w:val="0"/>
          <w:iCs w:val="0"/>
          <w:caps w:val="0"/>
          <w:color w:val="333333"/>
          <w:spacing w:val="6"/>
          <w:sz w:val="30"/>
          <w:szCs w:val="30"/>
          <w:shd w:val="clear" w:fill="FFFFFF"/>
        </w:rPr>
        <w:t>指标分值</w:t>
      </w:r>
      <w:r>
        <w:rPr>
          <w:rFonts w:hint="eastAsia" w:ascii="宋体" w:hAnsi="宋体"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rPr>
        <w:t>分，得</w:t>
      </w:r>
      <w:r>
        <w:rPr>
          <w:rFonts w:hint="eastAsia" w:ascii="宋体" w:hAnsi="宋体"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rPr>
        <w:t>分。本项目在经营期内能够维持微利，具有较好的经济效益</w:t>
      </w:r>
      <w:r>
        <w:rPr>
          <w:rFonts w:hint="eastAsia" w:ascii="宋体" w:hAnsi="宋体" w:cs="仿宋_GB2312"/>
          <w:i w:val="0"/>
          <w:iCs w:val="0"/>
          <w:caps w:val="0"/>
          <w:color w:val="333333"/>
          <w:spacing w:val="6"/>
          <w:sz w:val="30"/>
          <w:szCs w:val="30"/>
          <w:shd w:val="clear" w:fill="FFFFFF"/>
          <w:lang w:eastAsia="zh-CN"/>
        </w:rPr>
        <w:t>，</w:t>
      </w:r>
      <w:r>
        <w:rPr>
          <w:rFonts w:hint="eastAsia" w:ascii="宋体" w:hAnsi="宋体" w:eastAsia="仿宋_GB2312" w:cs="仿宋_GB2312"/>
          <w:i w:val="0"/>
          <w:iCs w:val="0"/>
          <w:caps w:val="0"/>
          <w:color w:val="333333"/>
          <w:spacing w:val="6"/>
          <w:sz w:val="30"/>
          <w:szCs w:val="30"/>
          <w:shd w:val="clear" w:fill="FFFFFF"/>
        </w:rPr>
        <w:t>同时本项目作为公益性项目，且能够进一步提高医院的治疗条件和综合实力,改善医院的医疗条件，创造一个良好的整体医疗环境，满足人民群众对就医条件越来越高的要求</w:t>
      </w:r>
      <w:r>
        <w:rPr>
          <w:rFonts w:hint="eastAsia" w:ascii="宋体" w:hAnsi="宋体" w:cs="仿宋_GB2312"/>
          <w:i w:val="0"/>
          <w:iCs w:val="0"/>
          <w:caps w:val="0"/>
          <w:color w:val="333333"/>
          <w:spacing w:val="6"/>
          <w:sz w:val="30"/>
          <w:szCs w:val="30"/>
          <w:shd w:val="clear" w:fill="FFFFFF"/>
          <w:lang w:eastAsia="zh-CN"/>
        </w:rPr>
        <w:t>，</w:t>
      </w:r>
      <w:r>
        <w:rPr>
          <w:rFonts w:hint="eastAsia" w:ascii="宋体" w:hAnsi="宋体" w:cs="仿宋_GB2312"/>
          <w:i w:val="0"/>
          <w:iCs w:val="0"/>
          <w:caps w:val="0"/>
          <w:color w:val="333333"/>
          <w:spacing w:val="6"/>
          <w:sz w:val="30"/>
          <w:szCs w:val="30"/>
          <w:shd w:val="clear" w:fill="FFFFFF"/>
          <w:lang w:val="en-US" w:eastAsia="zh-CN"/>
        </w:rPr>
        <w:t>符合专项债券支持领域和方向情况</w:t>
      </w:r>
      <w:r>
        <w:rPr>
          <w:rFonts w:hint="eastAsia" w:ascii="宋体" w:hAnsi="宋体" w:eastAsia="仿宋_GB2312" w:cs="仿宋_GB2312"/>
          <w:i w:val="0"/>
          <w:iCs w:val="0"/>
          <w:caps w:val="0"/>
          <w:color w:val="333333"/>
          <w:spacing w:val="6"/>
          <w:sz w:val="30"/>
          <w:szCs w:val="30"/>
          <w:shd w:val="clear" w:fill="FFFFFF"/>
        </w:rPr>
        <w:t>。</w:t>
      </w:r>
    </w:p>
    <w:p w14:paraId="14C34E91">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spacing w:val="6"/>
          <w:sz w:val="30"/>
          <w:szCs w:val="30"/>
          <w:highlight w:val="none"/>
          <w:lang w:val="en-US" w:eastAsia="zh-CN"/>
        </w:rPr>
      </w:pPr>
      <w:r>
        <w:rPr>
          <w:rFonts w:hint="eastAsia" w:ascii="宋体" w:hAnsi="宋体" w:eastAsia="仿宋_GB2312" w:cs="仿宋_GB2312"/>
          <w:i w:val="0"/>
          <w:iCs w:val="0"/>
          <w:caps w:val="0"/>
          <w:color w:val="000000"/>
          <w:spacing w:val="6"/>
          <w:sz w:val="30"/>
          <w:szCs w:val="30"/>
          <w:highlight w:val="none"/>
          <w:shd w:val="clear" w:fill="FFFFFF"/>
          <w:lang w:val="en-US" w:eastAsia="zh-CN"/>
        </w:rPr>
        <w:t>本项目符合《长春宽城经济开发区发展战略规划（2020-2035年）》</w:t>
      </w:r>
      <w:r>
        <w:rPr>
          <w:rFonts w:hint="eastAsia" w:ascii="宋体" w:hAnsi="宋体" w:cs="仿宋_GB2312"/>
          <w:i w:val="0"/>
          <w:iCs w:val="0"/>
          <w:caps w:val="0"/>
          <w:color w:val="000000"/>
          <w:spacing w:val="6"/>
          <w:sz w:val="30"/>
          <w:szCs w:val="30"/>
          <w:highlight w:val="none"/>
          <w:shd w:val="clear" w:fill="FFFFFF"/>
          <w:lang w:val="en-US" w:eastAsia="zh-CN"/>
        </w:rPr>
        <w:t>和</w:t>
      </w:r>
      <w:r>
        <w:rPr>
          <w:rFonts w:hint="eastAsia" w:ascii="宋体" w:hAnsi="宋体" w:eastAsia="仿宋_GB2312" w:cs="仿宋_GB2312"/>
          <w:i w:val="0"/>
          <w:iCs w:val="0"/>
          <w:caps w:val="0"/>
          <w:color w:val="000000"/>
          <w:spacing w:val="6"/>
          <w:sz w:val="30"/>
          <w:szCs w:val="30"/>
          <w:highlight w:val="none"/>
          <w:shd w:val="clear" w:fill="FFFFFF"/>
          <w:lang w:val="en-US" w:eastAsia="zh-CN"/>
        </w:rPr>
        <w:t>《长春宽城经济开发区第十四个五年规划纲要》</w:t>
      </w:r>
      <w:r>
        <w:rPr>
          <w:rFonts w:hint="eastAsia" w:ascii="宋体" w:hAnsi="宋体" w:cs="仿宋_GB2312"/>
          <w:i w:val="0"/>
          <w:iCs w:val="0"/>
          <w:caps w:val="0"/>
          <w:color w:val="000000"/>
          <w:spacing w:val="6"/>
          <w:sz w:val="30"/>
          <w:szCs w:val="30"/>
          <w:highlight w:val="none"/>
          <w:shd w:val="clear" w:fill="FFFFFF"/>
          <w:lang w:val="en-US" w:eastAsia="zh-CN"/>
        </w:rPr>
        <w:t>的要求</w:t>
      </w:r>
      <w:r>
        <w:rPr>
          <w:rFonts w:hint="eastAsia" w:ascii="宋体" w:hAnsi="宋体" w:eastAsia="仿宋_GB2312" w:cs="仿宋_GB2312"/>
          <w:i w:val="0"/>
          <w:iCs w:val="0"/>
          <w:caps w:val="0"/>
          <w:color w:val="000000"/>
          <w:spacing w:val="6"/>
          <w:sz w:val="30"/>
          <w:szCs w:val="30"/>
          <w:highlight w:val="none"/>
          <w:shd w:val="clear" w:fill="FFFFFF"/>
        </w:rPr>
        <w:t>。</w:t>
      </w:r>
      <w:r>
        <w:rPr>
          <w:rFonts w:hint="eastAsia" w:ascii="宋体" w:hAnsi="宋体" w:eastAsia="仿宋_GB2312" w:cs="仿宋_GB2312"/>
          <w:i w:val="0"/>
          <w:iCs w:val="0"/>
          <w:caps w:val="0"/>
          <w:color w:val="000000"/>
          <w:spacing w:val="6"/>
          <w:sz w:val="30"/>
          <w:szCs w:val="30"/>
          <w:highlight w:val="none"/>
          <w:shd w:val="clear" w:fill="FFFFFF"/>
          <w:lang w:val="en-US" w:eastAsia="zh-CN"/>
        </w:rPr>
        <w:t>同时符合《</w:t>
      </w:r>
      <w:r>
        <w:rPr>
          <w:rFonts w:hint="eastAsia" w:ascii="宋体" w:hAnsi="宋体" w:cs="仿宋_GB2312"/>
          <w:i w:val="0"/>
          <w:iCs w:val="0"/>
          <w:caps w:val="0"/>
          <w:color w:val="000000"/>
          <w:spacing w:val="6"/>
          <w:sz w:val="30"/>
          <w:szCs w:val="30"/>
          <w:highlight w:val="none"/>
          <w:shd w:val="clear" w:fill="FFFFFF"/>
          <w:lang w:val="en-US" w:eastAsia="zh-CN"/>
        </w:rPr>
        <w:t>吉林省医疗卫生服务体系规划</w:t>
      </w:r>
      <w:r>
        <w:rPr>
          <w:rFonts w:hint="eastAsia" w:ascii="宋体" w:hAnsi="宋体" w:eastAsia="仿宋_GB2312" w:cs="仿宋_GB2312"/>
          <w:i w:val="0"/>
          <w:iCs w:val="0"/>
          <w:caps w:val="0"/>
          <w:color w:val="000000"/>
          <w:spacing w:val="6"/>
          <w:sz w:val="30"/>
          <w:szCs w:val="30"/>
          <w:highlight w:val="none"/>
          <w:shd w:val="clear" w:fill="FFFFFF"/>
          <w:lang w:val="en-US" w:eastAsia="zh-CN"/>
        </w:rPr>
        <w:t>（20</w:t>
      </w:r>
      <w:r>
        <w:rPr>
          <w:rFonts w:hint="eastAsia" w:ascii="宋体" w:hAnsi="宋体" w:cs="仿宋_GB2312"/>
          <w:i w:val="0"/>
          <w:iCs w:val="0"/>
          <w:caps w:val="0"/>
          <w:color w:val="000000"/>
          <w:spacing w:val="6"/>
          <w:sz w:val="30"/>
          <w:szCs w:val="30"/>
          <w:highlight w:val="none"/>
          <w:shd w:val="clear" w:fill="FFFFFF"/>
          <w:lang w:val="en-US" w:eastAsia="zh-CN"/>
        </w:rPr>
        <w:t>15—</w:t>
      </w:r>
      <w:r>
        <w:rPr>
          <w:rFonts w:hint="eastAsia" w:ascii="宋体" w:hAnsi="宋体" w:eastAsia="仿宋_GB2312" w:cs="仿宋_GB2312"/>
          <w:i w:val="0"/>
          <w:iCs w:val="0"/>
          <w:caps w:val="0"/>
          <w:color w:val="000000"/>
          <w:spacing w:val="6"/>
          <w:sz w:val="30"/>
          <w:szCs w:val="30"/>
          <w:highlight w:val="none"/>
          <w:shd w:val="clear" w:fill="FFFFFF"/>
          <w:lang w:val="en-US" w:eastAsia="zh-CN"/>
        </w:rPr>
        <w:t>20</w:t>
      </w:r>
      <w:r>
        <w:rPr>
          <w:rFonts w:hint="eastAsia" w:ascii="宋体" w:hAnsi="宋体" w:cs="仿宋_GB2312"/>
          <w:i w:val="0"/>
          <w:iCs w:val="0"/>
          <w:caps w:val="0"/>
          <w:color w:val="000000"/>
          <w:spacing w:val="6"/>
          <w:sz w:val="30"/>
          <w:szCs w:val="30"/>
          <w:highlight w:val="none"/>
          <w:shd w:val="clear" w:fill="FFFFFF"/>
          <w:lang w:val="en-US" w:eastAsia="zh-CN"/>
        </w:rPr>
        <w:t>20</w:t>
      </w:r>
      <w:r>
        <w:rPr>
          <w:rFonts w:hint="eastAsia" w:ascii="宋体" w:hAnsi="宋体" w:eastAsia="仿宋_GB2312" w:cs="仿宋_GB2312"/>
          <w:i w:val="0"/>
          <w:iCs w:val="0"/>
          <w:caps w:val="0"/>
          <w:color w:val="000000"/>
          <w:spacing w:val="6"/>
          <w:sz w:val="30"/>
          <w:szCs w:val="30"/>
          <w:highlight w:val="none"/>
          <w:shd w:val="clear" w:fill="FFFFFF"/>
          <w:lang w:val="en-US" w:eastAsia="zh-CN"/>
        </w:rPr>
        <w:t>年）》的要求。</w:t>
      </w:r>
    </w:p>
    <w:p w14:paraId="2252C9D1">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shd w:val="clear" w:fill="FFFFFF"/>
        </w:rPr>
      </w:pPr>
      <w:r>
        <w:rPr>
          <w:rFonts w:hint="eastAsia" w:ascii="宋体" w:hAnsi="宋体" w:eastAsia="仿宋_GB2312" w:cs="仿宋_GB2312"/>
          <w:i w:val="0"/>
          <w:iCs w:val="0"/>
          <w:caps w:val="0"/>
          <w:color w:val="333333"/>
          <w:spacing w:val="6"/>
          <w:sz w:val="30"/>
          <w:szCs w:val="30"/>
          <w:shd w:val="clear" w:fill="FFFFFF"/>
        </w:rPr>
        <w:t>本项目已纳入财政部地方政府债务管理系统项目库和发改委国家重大项目建设库。</w:t>
      </w:r>
    </w:p>
    <w:p w14:paraId="5AAA2AFE">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default" w:ascii="宋体" w:hAnsi="宋体" w:eastAsia="仿宋_GB2312" w:cs="仿宋_GB2312"/>
          <w:i w:val="0"/>
          <w:iCs w:val="0"/>
          <w:caps w:val="0"/>
          <w:color w:val="333333"/>
          <w:spacing w:val="6"/>
          <w:sz w:val="30"/>
          <w:szCs w:val="30"/>
          <w:shd w:val="clear" w:fill="FFFFFF"/>
          <w:lang w:val="en-US" w:eastAsia="zh-CN"/>
        </w:rPr>
      </w:pPr>
      <w:r>
        <w:rPr>
          <w:rFonts w:hint="eastAsia" w:ascii="宋体" w:hAnsi="宋体" w:cs="仿宋_GB2312"/>
          <w:i w:val="0"/>
          <w:iCs w:val="0"/>
          <w:caps w:val="0"/>
          <w:color w:val="333333"/>
          <w:spacing w:val="6"/>
          <w:sz w:val="30"/>
          <w:szCs w:val="30"/>
          <w:shd w:val="clear" w:fill="FFFFFF"/>
          <w:lang w:val="en-US" w:eastAsia="zh-CN"/>
        </w:rPr>
        <w:t>本项目总投资、申请地方政府专项债券资金和项目资本金已列入长春市宽城经济开发区财政局预算，纳入政府性基金预算管理。</w:t>
      </w:r>
    </w:p>
    <w:p w14:paraId="6910BBC8">
      <w:pPr>
        <w:pStyle w:val="5"/>
        <w:bidi w:val="0"/>
        <w:rPr>
          <w:rFonts w:hint="eastAsia" w:ascii="宋体" w:hAnsi="宋体"/>
        </w:rPr>
      </w:pPr>
      <w:r>
        <w:rPr>
          <w:rFonts w:hint="eastAsia" w:ascii="宋体" w:hAnsi="宋体"/>
        </w:rPr>
        <w:t>（2）立项程序规范性</w:t>
      </w:r>
    </w:p>
    <w:p w14:paraId="58526388">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cs="仿宋_GB2312"/>
          <w:i w:val="0"/>
          <w:iCs w:val="0"/>
          <w:caps w:val="0"/>
          <w:color w:val="333333"/>
          <w:spacing w:val="6"/>
          <w:sz w:val="30"/>
          <w:szCs w:val="30"/>
          <w:shd w:val="clear" w:fill="FFFFFF"/>
          <w:lang w:val="en-US" w:eastAsia="zh-CN"/>
        </w:rPr>
      </w:pPr>
      <w:r>
        <w:rPr>
          <w:rFonts w:hint="eastAsia" w:ascii="宋体" w:hAnsi="宋体" w:eastAsia="仿宋_GB2312" w:cs="仿宋_GB2312"/>
          <w:i w:val="0"/>
          <w:iCs w:val="0"/>
          <w:caps w:val="0"/>
          <w:color w:val="333333"/>
          <w:spacing w:val="6"/>
          <w:sz w:val="30"/>
          <w:szCs w:val="30"/>
          <w:shd w:val="clear" w:fill="FFFFFF"/>
        </w:rPr>
        <w:t>指标分值</w:t>
      </w:r>
      <w:r>
        <w:rPr>
          <w:rFonts w:hint="eastAsia" w:ascii="宋体" w:hAnsi="宋体" w:eastAsia="仿宋_GB2312"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rPr>
        <w:t>分，得</w:t>
      </w:r>
      <w:r>
        <w:rPr>
          <w:rFonts w:hint="eastAsia" w:ascii="宋体" w:hAnsi="宋体" w:eastAsia="仿宋_GB2312"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rPr>
        <w:t>分。</w:t>
      </w:r>
      <w:r>
        <w:rPr>
          <w:rFonts w:hint="eastAsia" w:ascii="宋体" w:hAnsi="宋体" w:cs="仿宋_GB2312"/>
          <w:i w:val="0"/>
          <w:iCs w:val="0"/>
          <w:caps w:val="0"/>
          <w:color w:val="333333"/>
          <w:spacing w:val="6"/>
          <w:sz w:val="30"/>
          <w:szCs w:val="30"/>
          <w:shd w:val="clear" w:fill="FFFFFF"/>
          <w:lang w:val="en-US" w:eastAsia="zh-CN"/>
        </w:rPr>
        <w:t>长春市规划和自然资源局于2021年5月13日核发《建设项目用地预审与选址意见书》，2021年10月28日核发《建设用地规划许可证》。</w:t>
      </w:r>
    </w:p>
    <w:p w14:paraId="6E2E5160">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cs="仿宋_GB2312"/>
          <w:i w:val="0"/>
          <w:iCs w:val="0"/>
          <w:caps w:val="0"/>
          <w:color w:val="333333"/>
          <w:spacing w:val="6"/>
          <w:sz w:val="30"/>
          <w:szCs w:val="30"/>
          <w:highlight w:val="none"/>
          <w:shd w:val="clear" w:fill="FFFFFF"/>
          <w:lang w:val="en-US" w:eastAsia="zh-CN"/>
        </w:rPr>
      </w:pPr>
      <w:r>
        <w:rPr>
          <w:rFonts w:hint="eastAsia" w:ascii="宋体" w:hAnsi="宋体" w:cs="仿宋_GB2312"/>
          <w:i w:val="0"/>
          <w:iCs w:val="0"/>
          <w:caps w:val="0"/>
          <w:color w:val="333333"/>
          <w:spacing w:val="6"/>
          <w:sz w:val="30"/>
          <w:szCs w:val="30"/>
          <w:shd w:val="clear" w:fill="FFFFFF"/>
          <w:lang w:val="en-US" w:eastAsia="zh-CN"/>
        </w:rPr>
        <w:t>2022年9月华设设计集团股份有限公司出具《长春市宽城区医院异地建设项目工程可行性研究报告（修改版）》，2022年9月30日长春市宽城区发展和改革局</w:t>
      </w:r>
      <w:r>
        <w:rPr>
          <w:rFonts w:hint="eastAsia" w:ascii="宋体" w:hAnsi="宋体" w:cs="仿宋_GB2312"/>
          <w:i w:val="0"/>
          <w:iCs w:val="0"/>
          <w:caps w:val="0"/>
          <w:color w:val="333333"/>
          <w:spacing w:val="6"/>
          <w:sz w:val="30"/>
          <w:szCs w:val="30"/>
          <w:highlight w:val="none"/>
          <w:shd w:val="clear" w:fill="FFFFFF"/>
          <w:lang w:val="en-US" w:eastAsia="zh-CN"/>
        </w:rPr>
        <w:t>发布</w:t>
      </w:r>
      <w:r>
        <w:rPr>
          <w:rFonts w:hint="eastAsia" w:ascii="宋体" w:hAnsi="宋体" w:eastAsia="仿宋_GB2312" w:cs="仿宋_GB2312"/>
          <w:i w:val="0"/>
          <w:iCs w:val="0"/>
          <w:caps w:val="0"/>
          <w:color w:val="333333"/>
          <w:spacing w:val="6"/>
          <w:sz w:val="30"/>
          <w:szCs w:val="30"/>
          <w:highlight w:val="none"/>
          <w:shd w:val="clear" w:fill="FFFFFF"/>
          <w:lang w:val="en-US" w:eastAsia="zh-CN"/>
        </w:rPr>
        <w:t>《关于调整</w:t>
      </w:r>
      <w:r>
        <w:rPr>
          <w:rFonts w:hint="eastAsia" w:ascii="宋体" w:hAnsi="宋体" w:cs="仿宋_GB2312"/>
          <w:i w:val="0"/>
          <w:iCs w:val="0"/>
          <w:caps w:val="0"/>
          <w:color w:val="333333"/>
          <w:spacing w:val="6"/>
          <w:sz w:val="30"/>
          <w:szCs w:val="30"/>
          <w:highlight w:val="none"/>
          <w:shd w:val="clear" w:fill="FFFFFF"/>
          <w:lang w:val="en-US" w:eastAsia="zh-CN"/>
        </w:rPr>
        <w:t>长春市宽城区医院异地</w:t>
      </w:r>
      <w:r>
        <w:rPr>
          <w:rFonts w:hint="eastAsia" w:ascii="宋体" w:hAnsi="宋体" w:eastAsia="仿宋_GB2312" w:cs="仿宋_GB2312"/>
          <w:i w:val="0"/>
          <w:iCs w:val="0"/>
          <w:caps w:val="0"/>
          <w:color w:val="333333"/>
          <w:spacing w:val="6"/>
          <w:sz w:val="30"/>
          <w:szCs w:val="30"/>
          <w:highlight w:val="none"/>
          <w:shd w:val="clear" w:fill="FFFFFF"/>
          <w:lang w:val="en-US" w:eastAsia="zh-CN"/>
        </w:rPr>
        <w:t>建设项目可行性研究报告的批复》（</w:t>
      </w:r>
      <w:r>
        <w:rPr>
          <w:rFonts w:hint="eastAsia" w:ascii="宋体" w:hAnsi="宋体" w:cs="仿宋_GB2312"/>
          <w:i w:val="0"/>
          <w:iCs w:val="0"/>
          <w:caps w:val="0"/>
          <w:color w:val="333333"/>
          <w:spacing w:val="6"/>
          <w:sz w:val="30"/>
          <w:szCs w:val="30"/>
          <w:highlight w:val="none"/>
          <w:shd w:val="clear" w:fill="FFFFFF"/>
          <w:lang w:val="en-US" w:eastAsia="zh-CN"/>
        </w:rPr>
        <w:t>长宽</w:t>
      </w:r>
      <w:r>
        <w:rPr>
          <w:rFonts w:hint="eastAsia" w:ascii="宋体" w:hAnsi="宋体" w:eastAsia="仿宋_GB2312" w:cs="仿宋_GB2312"/>
          <w:i w:val="0"/>
          <w:iCs w:val="0"/>
          <w:caps w:val="0"/>
          <w:color w:val="333333"/>
          <w:spacing w:val="6"/>
          <w:sz w:val="30"/>
          <w:szCs w:val="30"/>
          <w:highlight w:val="none"/>
          <w:shd w:val="clear" w:fill="FFFFFF"/>
          <w:lang w:val="en-US" w:eastAsia="zh-CN"/>
        </w:rPr>
        <w:t>发改字【2022】</w:t>
      </w:r>
      <w:r>
        <w:rPr>
          <w:rFonts w:hint="eastAsia" w:ascii="宋体" w:hAnsi="宋体" w:cs="仿宋_GB2312"/>
          <w:i w:val="0"/>
          <w:iCs w:val="0"/>
          <w:caps w:val="0"/>
          <w:color w:val="333333"/>
          <w:spacing w:val="6"/>
          <w:sz w:val="30"/>
          <w:szCs w:val="30"/>
          <w:highlight w:val="none"/>
          <w:shd w:val="clear" w:fill="FFFFFF"/>
          <w:lang w:val="en-US" w:eastAsia="zh-CN"/>
        </w:rPr>
        <w:t>91</w:t>
      </w:r>
      <w:r>
        <w:rPr>
          <w:rFonts w:hint="eastAsia" w:ascii="宋体" w:hAnsi="宋体" w:eastAsia="仿宋_GB2312" w:cs="仿宋_GB2312"/>
          <w:i w:val="0"/>
          <w:iCs w:val="0"/>
          <w:caps w:val="0"/>
          <w:color w:val="333333"/>
          <w:spacing w:val="6"/>
          <w:sz w:val="30"/>
          <w:szCs w:val="30"/>
          <w:highlight w:val="none"/>
          <w:shd w:val="clear" w:fill="FFFFFF"/>
          <w:lang w:val="en-US" w:eastAsia="zh-CN"/>
        </w:rPr>
        <w:t>号）</w:t>
      </w:r>
      <w:r>
        <w:rPr>
          <w:rFonts w:hint="eastAsia" w:ascii="宋体" w:hAnsi="宋体" w:cs="仿宋_GB2312"/>
          <w:i w:val="0"/>
          <w:iCs w:val="0"/>
          <w:caps w:val="0"/>
          <w:color w:val="333333"/>
          <w:spacing w:val="6"/>
          <w:sz w:val="30"/>
          <w:szCs w:val="30"/>
          <w:highlight w:val="none"/>
          <w:shd w:val="clear" w:fill="FFFFFF"/>
          <w:lang w:val="en-US" w:eastAsia="zh-CN"/>
        </w:rPr>
        <w:t>。</w:t>
      </w:r>
    </w:p>
    <w:p w14:paraId="28C6D27F">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both"/>
        <w:textAlignment w:val="baseline"/>
        <w:rPr>
          <w:rFonts w:hint="eastAsia" w:ascii="宋体" w:hAnsi="宋体" w:eastAsia="仿宋_GB2312" w:cs="仿宋_GB2312"/>
          <w:i w:val="0"/>
          <w:iCs w:val="0"/>
          <w:caps w:val="0"/>
          <w:color w:val="333333"/>
          <w:spacing w:val="6"/>
          <w:sz w:val="30"/>
          <w:szCs w:val="30"/>
          <w:highlight w:val="none"/>
          <w:shd w:val="clear" w:fill="FFFFFF"/>
        </w:rPr>
      </w:pPr>
      <w:r>
        <w:rPr>
          <w:rFonts w:hint="eastAsia" w:ascii="宋体" w:hAnsi="宋体" w:eastAsia="仿宋_GB2312" w:cs="仿宋_GB2312"/>
          <w:i w:val="0"/>
          <w:iCs w:val="0"/>
          <w:caps w:val="0"/>
          <w:color w:val="333333"/>
          <w:spacing w:val="6"/>
          <w:sz w:val="30"/>
          <w:szCs w:val="30"/>
          <w:highlight w:val="none"/>
          <w:shd w:val="clear" w:fill="FFFFFF"/>
          <w:lang w:val="en-US" w:eastAsia="zh-CN"/>
        </w:rPr>
        <w:t>202</w:t>
      </w:r>
      <w:r>
        <w:rPr>
          <w:rFonts w:hint="eastAsia" w:ascii="宋体" w:hAnsi="宋体" w:cs="仿宋_GB2312"/>
          <w:i w:val="0"/>
          <w:iCs w:val="0"/>
          <w:caps w:val="0"/>
          <w:color w:val="333333"/>
          <w:spacing w:val="6"/>
          <w:sz w:val="30"/>
          <w:szCs w:val="30"/>
          <w:highlight w:val="none"/>
          <w:shd w:val="clear" w:fill="FFFFFF"/>
          <w:lang w:val="en-US" w:eastAsia="zh-CN"/>
        </w:rPr>
        <w:t>3</w:t>
      </w:r>
      <w:r>
        <w:rPr>
          <w:rFonts w:hint="eastAsia" w:ascii="宋体" w:hAnsi="宋体" w:eastAsia="仿宋_GB2312" w:cs="仿宋_GB2312"/>
          <w:i w:val="0"/>
          <w:iCs w:val="0"/>
          <w:caps w:val="0"/>
          <w:color w:val="333333"/>
          <w:spacing w:val="6"/>
          <w:sz w:val="30"/>
          <w:szCs w:val="30"/>
          <w:highlight w:val="none"/>
          <w:shd w:val="clear" w:fill="FFFFFF"/>
          <w:lang w:val="en-US" w:eastAsia="zh-CN"/>
        </w:rPr>
        <w:t>年</w:t>
      </w:r>
      <w:r>
        <w:rPr>
          <w:rFonts w:hint="eastAsia" w:ascii="宋体" w:hAnsi="宋体" w:cs="仿宋_GB2312"/>
          <w:i w:val="0"/>
          <w:iCs w:val="0"/>
          <w:caps w:val="0"/>
          <w:color w:val="333333"/>
          <w:spacing w:val="6"/>
          <w:sz w:val="30"/>
          <w:szCs w:val="30"/>
          <w:highlight w:val="none"/>
          <w:shd w:val="clear" w:fill="FFFFFF"/>
          <w:lang w:val="en-US" w:eastAsia="zh-CN"/>
        </w:rPr>
        <w:t>1</w:t>
      </w:r>
      <w:r>
        <w:rPr>
          <w:rFonts w:hint="eastAsia" w:ascii="宋体" w:hAnsi="宋体" w:eastAsia="仿宋_GB2312" w:cs="仿宋_GB2312"/>
          <w:i w:val="0"/>
          <w:iCs w:val="0"/>
          <w:caps w:val="0"/>
          <w:color w:val="333333"/>
          <w:spacing w:val="6"/>
          <w:sz w:val="30"/>
          <w:szCs w:val="30"/>
          <w:highlight w:val="none"/>
          <w:shd w:val="clear" w:fill="FFFFFF"/>
          <w:lang w:val="en-US" w:eastAsia="zh-CN"/>
        </w:rPr>
        <w:t>月3</w:t>
      </w:r>
      <w:r>
        <w:rPr>
          <w:rFonts w:hint="eastAsia" w:ascii="宋体" w:hAnsi="宋体" w:cs="仿宋_GB2312"/>
          <w:i w:val="0"/>
          <w:iCs w:val="0"/>
          <w:caps w:val="0"/>
          <w:color w:val="333333"/>
          <w:spacing w:val="6"/>
          <w:sz w:val="30"/>
          <w:szCs w:val="30"/>
          <w:highlight w:val="none"/>
          <w:shd w:val="clear" w:fill="FFFFFF"/>
          <w:lang w:val="en-US" w:eastAsia="zh-CN"/>
        </w:rPr>
        <w:t>0</w:t>
      </w:r>
      <w:r>
        <w:rPr>
          <w:rFonts w:hint="eastAsia" w:ascii="宋体" w:hAnsi="宋体" w:eastAsia="仿宋_GB2312" w:cs="仿宋_GB2312"/>
          <w:i w:val="0"/>
          <w:iCs w:val="0"/>
          <w:caps w:val="0"/>
          <w:color w:val="333333"/>
          <w:spacing w:val="6"/>
          <w:sz w:val="30"/>
          <w:szCs w:val="30"/>
          <w:highlight w:val="none"/>
          <w:shd w:val="clear" w:fill="FFFFFF"/>
          <w:lang w:val="en-US" w:eastAsia="zh-CN"/>
        </w:rPr>
        <w:t>日长春市宽城区发展和改革局发布《宽城区发展和改革局</w:t>
      </w:r>
      <w:r>
        <w:rPr>
          <w:rFonts w:hint="eastAsia" w:ascii="宋体" w:hAnsi="宋体" w:cs="仿宋_GB2312"/>
          <w:i w:val="0"/>
          <w:iCs w:val="0"/>
          <w:caps w:val="0"/>
          <w:color w:val="333333"/>
          <w:spacing w:val="6"/>
          <w:sz w:val="30"/>
          <w:szCs w:val="30"/>
          <w:highlight w:val="none"/>
          <w:shd w:val="clear" w:fill="FFFFFF"/>
          <w:lang w:val="en-US" w:eastAsia="zh-CN"/>
        </w:rPr>
        <w:t>关于调整长春市宽城区医院异地建设项目</w:t>
      </w:r>
      <w:r>
        <w:rPr>
          <w:rFonts w:hint="eastAsia" w:ascii="宋体" w:hAnsi="宋体" w:eastAsia="仿宋_GB2312" w:cs="仿宋_GB2312"/>
          <w:i w:val="0"/>
          <w:iCs w:val="0"/>
          <w:caps w:val="0"/>
          <w:color w:val="333333"/>
          <w:spacing w:val="6"/>
          <w:sz w:val="30"/>
          <w:szCs w:val="30"/>
          <w:highlight w:val="none"/>
          <w:shd w:val="clear" w:fill="FFFFFF"/>
          <w:lang w:val="en-US" w:eastAsia="zh-CN"/>
        </w:rPr>
        <w:t>初步设计的批复》（</w:t>
      </w:r>
      <w:r>
        <w:rPr>
          <w:rFonts w:hint="eastAsia" w:ascii="宋体" w:hAnsi="宋体" w:cs="仿宋_GB2312"/>
          <w:i w:val="0"/>
          <w:iCs w:val="0"/>
          <w:caps w:val="0"/>
          <w:color w:val="333333"/>
          <w:spacing w:val="6"/>
          <w:sz w:val="30"/>
          <w:szCs w:val="30"/>
          <w:highlight w:val="none"/>
          <w:shd w:val="clear" w:fill="FFFFFF"/>
          <w:lang w:val="en-US" w:eastAsia="zh-CN"/>
        </w:rPr>
        <w:t>长宽发改</w:t>
      </w:r>
      <w:r>
        <w:rPr>
          <w:rFonts w:hint="eastAsia" w:ascii="宋体" w:hAnsi="宋体" w:eastAsia="仿宋_GB2312" w:cs="仿宋_GB2312"/>
          <w:i w:val="0"/>
          <w:iCs w:val="0"/>
          <w:caps w:val="0"/>
          <w:color w:val="333333"/>
          <w:spacing w:val="6"/>
          <w:sz w:val="30"/>
          <w:szCs w:val="30"/>
          <w:highlight w:val="none"/>
          <w:shd w:val="clear" w:fill="FFFFFF"/>
          <w:lang w:val="en-US" w:eastAsia="zh-CN"/>
        </w:rPr>
        <w:t>字【202</w:t>
      </w:r>
      <w:r>
        <w:rPr>
          <w:rFonts w:hint="eastAsia" w:ascii="宋体" w:hAnsi="宋体" w:cs="仿宋_GB2312"/>
          <w:i w:val="0"/>
          <w:iCs w:val="0"/>
          <w:caps w:val="0"/>
          <w:color w:val="333333"/>
          <w:spacing w:val="6"/>
          <w:sz w:val="30"/>
          <w:szCs w:val="30"/>
          <w:highlight w:val="none"/>
          <w:shd w:val="clear" w:fill="FFFFFF"/>
          <w:lang w:val="en-US" w:eastAsia="zh-CN"/>
        </w:rPr>
        <w:t>3</w:t>
      </w:r>
      <w:r>
        <w:rPr>
          <w:rFonts w:hint="eastAsia" w:ascii="宋体" w:hAnsi="宋体" w:eastAsia="仿宋_GB2312" w:cs="仿宋_GB2312"/>
          <w:i w:val="0"/>
          <w:iCs w:val="0"/>
          <w:caps w:val="0"/>
          <w:color w:val="333333"/>
          <w:spacing w:val="6"/>
          <w:sz w:val="30"/>
          <w:szCs w:val="30"/>
          <w:highlight w:val="none"/>
          <w:shd w:val="clear" w:fill="FFFFFF"/>
          <w:lang w:val="en-US" w:eastAsia="zh-CN"/>
        </w:rPr>
        <w:t>】</w:t>
      </w:r>
      <w:r>
        <w:rPr>
          <w:rFonts w:hint="eastAsia" w:ascii="宋体" w:hAnsi="宋体" w:cs="仿宋_GB2312"/>
          <w:i w:val="0"/>
          <w:iCs w:val="0"/>
          <w:caps w:val="0"/>
          <w:color w:val="333333"/>
          <w:spacing w:val="6"/>
          <w:sz w:val="30"/>
          <w:szCs w:val="30"/>
          <w:highlight w:val="none"/>
          <w:shd w:val="clear" w:fill="FFFFFF"/>
          <w:lang w:val="en-US" w:eastAsia="zh-CN"/>
        </w:rPr>
        <w:t>16</w:t>
      </w:r>
      <w:r>
        <w:rPr>
          <w:rFonts w:hint="eastAsia" w:ascii="宋体" w:hAnsi="宋体" w:eastAsia="仿宋_GB2312" w:cs="仿宋_GB2312"/>
          <w:i w:val="0"/>
          <w:iCs w:val="0"/>
          <w:caps w:val="0"/>
          <w:color w:val="333333"/>
          <w:spacing w:val="6"/>
          <w:sz w:val="30"/>
          <w:szCs w:val="30"/>
          <w:highlight w:val="none"/>
          <w:shd w:val="clear" w:fill="FFFFFF"/>
          <w:lang w:val="en-US" w:eastAsia="zh-CN"/>
        </w:rPr>
        <w:t>号）</w:t>
      </w:r>
      <w:r>
        <w:rPr>
          <w:rFonts w:hint="eastAsia" w:ascii="宋体" w:hAnsi="宋体" w:eastAsia="仿宋_GB2312" w:cs="仿宋_GB2312"/>
          <w:i w:val="0"/>
          <w:iCs w:val="0"/>
          <w:caps w:val="0"/>
          <w:color w:val="333333"/>
          <w:spacing w:val="6"/>
          <w:sz w:val="30"/>
          <w:szCs w:val="30"/>
          <w:highlight w:val="none"/>
          <w:shd w:val="clear" w:fill="FFFFFF"/>
        </w:rPr>
        <w:t>。</w:t>
      </w:r>
    </w:p>
    <w:p w14:paraId="287167F3">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both"/>
        <w:textAlignment w:val="baseline"/>
        <w:rPr>
          <w:rFonts w:hint="eastAsia" w:ascii="宋体" w:hAnsi="宋体" w:eastAsia="仿宋_GB2312" w:cs="仿宋_GB2312"/>
          <w:i w:val="0"/>
          <w:iCs w:val="0"/>
          <w:caps w:val="0"/>
          <w:color w:val="333333"/>
          <w:spacing w:val="6"/>
          <w:sz w:val="30"/>
          <w:szCs w:val="30"/>
          <w:highlight w:val="none"/>
          <w:shd w:val="clear" w:fill="FFFFFF"/>
          <w:lang w:val="en-US" w:eastAsia="zh-CN"/>
        </w:rPr>
      </w:pPr>
      <w:r>
        <w:rPr>
          <w:rFonts w:hint="eastAsia" w:ascii="宋体" w:hAnsi="宋体" w:cs="仿宋_GB2312"/>
          <w:i w:val="0"/>
          <w:iCs w:val="0"/>
          <w:caps w:val="0"/>
          <w:color w:val="333333"/>
          <w:spacing w:val="6"/>
          <w:sz w:val="30"/>
          <w:szCs w:val="30"/>
          <w:highlight w:val="none"/>
          <w:shd w:val="clear" w:fill="FFFFFF"/>
          <w:lang w:val="en-US" w:eastAsia="zh-CN"/>
        </w:rPr>
        <w:t>2021年12月15日长春市生态环境局宽城分局发布《关于长春市宽城区异地建设项目环境影响报告书的批复》（长环宽审（书）【2021】001号）；2021年12月22日长春市发展和改革委员会发布《长春市发展改革委关于长春市宽城区医院异地建设项目节能报告的审查意见》（长发改审批字【2021】252号），原则同意该项目节能评估报告。长春市城乡建设委员会</w:t>
      </w:r>
      <w:r>
        <w:rPr>
          <w:rFonts w:hint="eastAsia" w:ascii="宋体" w:hAnsi="宋体" w:eastAsia="仿宋_GB2312" w:cs="仿宋_GB2312"/>
          <w:i w:val="0"/>
          <w:iCs w:val="0"/>
          <w:caps w:val="0"/>
          <w:color w:val="333333"/>
          <w:spacing w:val="6"/>
          <w:sz w:val="30"/>
          <w:szCs w:val="30"/>
          <w:highlight w:val="none"/>
          <w:shd w:val="clear" w:fill="FFFFFF"/>
          <w:lang w:val="en-US" w:eastAsia="zh-CN"/>
        </w:rPr>
        <w:t>于202</w:t>
      </w:r>
      <w:r>
        <w:rPr>
          <w:rFonts w:hint="eastAsia" w:ascii="宋体" w:hAnsi="宋体" w:cs="仿宋_GB2312"/>
          <w:i w:val="0"/>
          <w:iCs w:val="0"/>
          <w:caps w:val="0"/>
          <w:color w:val="333333"/>
          <w:spacing w:val="6"/>
          <w:sz w:val="30"/>
          <w:szCs w:val="30"/>
          <w:highlight w:val="none"/>
          <w:shd w:val="clear" w:fill="FFFFFF"/>
          <w:lang w:val="en-US" w:eastAsia="zh-CN"/>
        </w:rPr>
        <w:t>3</w:t>
      </w:r>
      <w:r>
        <w:rPr>
          <w:rFonts w:hint="eastAsia" w:ascii="宋体" w:hAnsi="宋体" w:eastAsia="仿宋_GB2312" w:cs="仿宋_GB2312"/>
          <w:i w:val="0"/>
          <w:iCs w:val="0"/>
          <w:caps w:val="0"/>
          <w:color w:val="333333"/>
          <w:spacing w:val="6"/>
          <w:sz w:val="30"/>
          <w:szCs w:val="30"/>
          <w:highlight w:val="none"/>
          <w:shd w:val="clear" w:fill="FFFFFF"/>
          <w:lang w:val="en-US" w:eastAsia="zh-CN"/>
        </w:rPr>
        <w:t>年</w:t>
      </w:r>
      <w:r>
        <w:rPr>
          <w:rFonts w:hint="eastAsia" w:ascii="宋体" w:hAnsi="宋体" w:cs="仿宋_GB2312"/>
          <w:i w:val="0"/>
          <w:iCs w:val="0"/>
          <w:caps w:val="0"/>
          <w:color w:val="333333"/>
          <w:spacing w:val="6"/>
          <w:sz w:val="30"/>
          <w:szCs w:val="30"/>
          <w:highlight w:val="none"/>
          <w:shd w:val="clear" w:fill="FFFFFF"/>
          <w:lang w:val="en-US" w:eastAsia="zh-CN"/>
        </w:rPr>
        <w:t>4</w:t>
      </w:r>
      <w:r>
        <w:rPr>
          <w:rFonts w:hint="eastAsia" w:ascii="宋体" w:hAnsi="宋体" w:eastAsia="仿宋_GB2312" w:cs="仿宋_GB2312"/>
          <w:i w:val="0"/>
          <w:iCs w:val="0"/>
          <w:caps w:val="0"/>
          <w:color w:val="333333"/>
          <w:spacing w:val="6"/>
          <w:sz w:val="30"/>
          <w:szCs w:val="30"/>
          <w:highlight w:val="none"/>
          <w:shd w:val="clear" w:fill="FFFFFF"/>
          <w:lang w:val="en-US" w:eastAsia="zh-CN"/>
        </w:rPr>
        <w:t>月</w:t>
      </w:r>
      <w:r>
        <w:rPr>
          <w:rFonts w:hint="eastAsia" w:ascii="宋体" w:hAnsi="宋体" w:cs="仿宋_GB2312"/>
          <w:i w:val="0"/>
          <w:iCs w:val="0"/>
          <w:caps w:val="0"/>
          <w:color w:val="333333"/>
          <w:spacing w:val="6"/>
          <w:sz w:val="30"/>
          <w:szCs w:val="30"/>
          <w:highlight w:val="none"/>
          <w:shd w:val="clear" w:fill="FFFFFF"/>
          <w:lang w:val="en-US" w:eastAsia="zh-CN"/>
        </w:rPr>
        <w:t>6</w:t>
      </w:r>
      <w:r>
        <w:rPr>
          <w:rFonts w:hint="eastAsia" w:ascii="宋体" w:hAnsi="宋体" w:eastAsia="仿宋_GB2312" w:cs="仿宋_GB2312"/>
          <w:i w:val="0"/>
          <w:iCs w:val="0"/>
          <w:caps w:val="0"/>
          <w:color w:val="333333"/>
          <w:spacing w:val="6"/>
          <w:sz w:val="30"/>
          <w:szCs w:val="30"/>
          <w:highlight w:val="none"/>
          <w:shd w:val="clear" w:fill="FFFFFF"/>
          <w:lang w:val="en-US" w:eastAsia="zh-CN"/>
        </w:rPr>
        <w:t>日颁发了《</w:t>
      </w:r>
      <w:r>
        <w:rPr>
          <w:rFonts w:hint="eastAsia" w:ascii="宋体" w:hAnsi="宋体" w:cs="仿宋_GB2312"/>
          <w:i w:val="0"/>
          <w:iCs w:val="0"/>
          <w:caps w:val="0"/>
          <w:color w:val="333333"/>
          <w:spacing w:val="6"/>
          <w:sz w:val="30"/>
          <w:szCs w:val="30"/>
          <w:highlight w:val="none"/>
          <w:shd w:val="clear" w:fill="FFFFFF"/>
          <w:lang w:val="en-US" w:eastAsia="zh-CN"/>
        </w:rPr>
        <w:t>建筑工程施工许可证</w:t>
      </w:r>
      <w:r>
        <w:rPr>
          <w:rFonts w:hint="eastAsia" w:ascii="宋体" w:hAnsi="宋体" w:eastAsia="仿宋_GB2312" w:cs="仿宋_GB2312"/>
          <w:i w:val="0"/>
          <w:iCs w:val="0"/>
          <w:caps w:val="0"/>
          <w:color w:val="333333"/>
          <w:spacing w:val="6"/>
          <w:sz w:val="30"/>
          <w:szCs w:val="30"/>
          <w:highlight w:val="none"/>
          <w:shd w:val="clear" w:fill="FFFFFF"/>
          <w:lang w:val="en-US" w:eastAsia="zh-CN"/>
        </w:rPr>
        <w:t>》</w:t>
      </w:r>
      <w:r>
        <w:rPr>
          <w:rFonts w:hint="eastAsia" w:ascii="宋体" w:hAnsi="宋体" w:cs="仿宋_GB2312"/>
          <w:i w:val="0"/>
          <w:iCs w:val="0"/>
          <w:caps w:val="0"/>
          <w:color w:val="333333"/>
          <w:spacing w:val="6"/>
          <w:sz w:val="30"/>
          <w:szCs w:val="30"/>
          <w:highlight w:val="none"/>
          <w:shd w:val="clear" w:fill="FFFFFF"/>
          <w:lang w:val="en-US" w:eastAsia="zh-CN"/>
        </w:rPr>
        <w:t>（编号220103202304060101）。</w:t>
      </w:r>
    </w:p>
    <w:p w14:paraId="42666D14">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shd w:val="clear" w:fill="FFFFFF"/>
        </w:rPr>
      </w:pPr>
      <w:r>
        <w:rPr>
          <w:rFonts w:hint="eastAsia" w:ascii="宋体" w:hAnsi="宋体" w:eastAsia="仿宋_GB2312" w:cs="仿宋_GB2312"/>
          <w:i w:val="0"/>
          <w:iCs w:val="0"/>
          <w:caps w:val="0"/>
          <w:color w:val="333333"/>
          <w:spacing w:val="6"/>
          <w:sz w:val="30"/>
          <w:szCs w:val="30"/>
          <w:shd w:val="clear" w:fill="FFFFFF"/>
        </w:rPr>
        <w:t>综上，本项目申报的政策依据与程序较为规范。</w:t>
      </w:r>
    </w:p>
    <w:p w14:paraId="14F5C97C">
      <w:pPr>
        <w:pStyle w:val="4"/>
        <w:bidi w:val="0"/>
        <w:rPr>
          <w:rFonts w:hint="eastAsia" w:ascii="宋体" w:hAnsi="宋体"/>
          <w:lang w:eastAsia="zh-CN"/>
        </w:rPr>
      </w:pPr>
      <w:bookmarkStart w:id="83" w:name="_Toc1343"/>
      <w:bookmarkStart w:id="84" w:name="_Toc31012"/>
      <w:bookmarkStart w:id="85" w:name="_Toc20695"/>
      <w:r>
        <w:rPr>
          <w:rFonts w:hint="eastAsia" w:ascii="宋体" w:hAnsi="宋体"/>
        </w:rPr>
        <w:t>2.绩效目标</w:t>
      </w:r>
      <w:r>
        <w:rPr>
          <w:rFonts w:hint="eastAsia" w:ascii="宋体" w:hAnsi="宋体"/>
          <w:lang w:eastAsia="zh-CN"/>
        </w:rPr>
        <w:t>（</w:t>
      </w:r>
      <w:r>
        <w:rPr>
          <w:rFonts w:hint="eastAsia" w:ascii="宋体" w:hAnsi="宋体"/>
          <w:lang w:val="en-US" w:eastAsia="zh-CN"/>
        </w:rPr>
        <w:t>满分9分，得分9分</w:t>
      </w:r>
      <w:r>
        <w:rPr>
          <w:rFonts w:hint="eastAsia" w:ascii="宋体" w:hAnsi="宋体"/>
          <w:lang w:eastAsia="zh-CN"/>
        </w:rPr>
        <w:t>）</w:t>
      </w:r>
      <w:bookmarkEnd w:id="83"/>
      <w:bookmarkEnd w:id="84"/>
      <w:bookmarkEnd w:id="85"/>
    </w:p>
    <w:p w14:paraId="246AECF1">
      <w:pPr>
        <w:pStyle w:val="5"/>
        <w:bidi w:val="0"/>
        <w:rPr>
          <w:rFonts w:hint="eastAsia" w:ascii="宋体" w:hAnsi="宋体"/>
          <w:highlight w:val="none"/>
        </w:rPr>
      </w:pPr>
      <w:r>
        <w:rPr>
          <w:rFonts w:hint="eastAsia" w:ascii="宋体" w:hAnsi="宋体"/>
        </w:rPr>
        <w:t>（1）绩效目</w:t>
      </w:r>
      <w:r>
        <w:rPr>
          <w:rFonts w:hint="eastAsia" w:ascii="宋体" w:hAnsi="宋体"/>
          <w:highlight w:val="none"/>
        </w:rPr>
        <w:t>标合理性</w:t>
      </w:r>
    </w:p>
    <w:p w14:paraId="4E07270F">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spacing w:val="6"/>
          <w:sz w:val="30"/>
          <w:szCs w:val="30"/>
          <w:highlight w:val="none"/>
        </w:rPr>
      </w:pPr>
      <w:r>
        <w:rPr>
          <w:rFonts w:hint="eastAsia" w:ascii="宋体" w:hAnsi="宋体" w:eastAsia="仿宋_GB2312" w:cs="仿宋_GB2312"/>
          <w:i w:val="0"/>
          <w:iCs w:val="0"/>
          <w:caps w:val="0"/>
          <w:color w:val="333333"/>
          <w:spacing w:val="6"/>
          <w:sz w:val="30"/>
          <w:szCs w:val="30"/>
          <w:highlight w:val="none"/>
          <w:shd w:val="clear" w:fill="FFFFFF"/>
        </w:rPr>
        <w:t>指标分值</w:t>
      </w:r>
      <w:r>
        <w:rPr>
          <w:rFonts w:hint="eastAsia" w:ascii="宋体" w:hAnsi="宋体" w:cs="仿宋_GB2312"/>
          <w:i w:val="0"/>
          <w:iCs w:val="0"/>
          <w:caps w:val="0"/>
          <w:color w:val="333333"/>
          <w:spacing w:val="6"/>
          <w:sz w:val="30"/>
          <w:szCs w:val="30"/>
          <w:highlight w:val="none"/>
          <w:shd w:val="clear" w:fill="FFFFFF"/>
          <w:lang w:val="en-US" w:eastAsia="zh-CN"/>
        </w:rPr>
        <w:t>4</w:t>
      </w:r>
      <w:r>
        <w:rPr>
          <w:rFonts w:hint="eastAsia" w:ascii="宋体" w:hAnsi="宋体" w:eastAsia="仿宋_GB2312" w:cs="仿宋_GB2312"/>
          <w:i w:val="0"/>
          <w:iCs w:val="0"/>
          <w:caps w:val="0"/>
          <w:color w:val="333333"/>
          <w:spacing w:val="6"/>
          <w:sz w:val="30"/>
          <w:szCs w:val="30"/>
          <w:highlight w:val="none"/>
          <w:shd w:val="clear" w:fill="FFFFFF"/>
        </w:rPr>
        <w:t>分，得</w:t>
      </w:r>
      <w:r>
        <w:rPr>
          <w:rFonts w:hint="eastAsia" w:ascii="宋体" w:hAnsi="宋体" w:cs="仿宋_GB2312"/>
          <w:i w:val="0"/>
          <w:iCs w:val="0"/>
          <w:caps w:val="0"/>
          <w:color w:val="333333"/>
          <w:spacing w:val="6"/>
          <w:sz w:val="30"/>
          <w:szCs w:val="30"/>
          <w:highlight w:val="none"/>
          <w:shd w:val="clear" w:fill="FFFFFF"/>
          <w:lang w:val="en-US" w:eastAsia="zh-CN"/>
        </w:rPr>
        <w:t>4</w:t>
      </w:r>
      <w:r>
        <w:rPr>
          <w:rFonts w:hint="eastAsia" w:ascii="宋体" w:hAnsi="宋体" w:eastAsia="仿宋_GB2312" w:cs="仿宋_GB2312"/>
          <w:i w:val="0"/>
          <w:iCs w:val="0"/>
          <w:caps w:val="0"/>
          <w:color w:val="333333"/>
          <w:spacing w:val="6"/>
          <w:sz w:val="30"/>
          <w:szCs w:val="30"/>
          <w:highlight w:val="none"/>
          <w:shd w:val="clear" w:fill="FFFFFF"/>
        </w:rPr>
        <w:t>分。</w:t>
      </w:r>
      <w:r>
        <w:rPr>
          <w:rFonts w:hint="eastAsia" w:ascii="宋体" w:hAnsi="宋体" w:eastAsia="仿宋_GB2312" w:cs="仿宋_GB2312"/>
          <w:i w:val="0"/>
          <w:iCs w:val="0"/>
          <w:caps w:val="0"/>
          <w:color w:val="333333"/>
          <w:spacing w:val="6"/>
          <w:sz w:val="30"/>
          <w:szCs w:val="30"/>
          <w:shd w:val="clear" w:fill="FFFFFF"/>
          <w:lang w:val="en-US" w:eastAsia="zh-CN"/>
        </w:rPr>
        <w:t>依据长春市宽城区医院提供的</w:t>
      </w:r>
      <w:r>
        <w:rPr>
          <w:rFonts w:hint="eastAsia" w:ascii="宋体" w:hAnsi="宋体" w:cs="仿宋_GB2312"/>
          <w:i w:val="0"/>
          <w:iCs w:val="0"/>
          <w:caps w:val="0"/>
          <w:color w:val="333333"/>
          <w:spacing w:val="6"/>
          <w:sz w:val="30"/>
          <w:szCs w:val="30"/>
          <w:shd w:val="clear" w:fill="FFFFFF"/>
          <w:lang w:val="en-US" w:eastAsia="zh-CN"/>
        </w:rPr>
        <w:t>本</w:t>
      </w:r>
      <w:r>
        <w:rPr>
          <w:rFonts w:hint="eastAsia" w:ascii="宋体" w:hAnsi="宋体" w:eastAsia="仿宋_GB2312" w:cs="仿宋_GB2312"/>
          <w:i w:val="0"/>
          <w:iCs w:val="0"/>
          <w:caps w:val="0"/>
          <w:color w:val="333333"/>
          <w:spacing w:val="6"/>
          <w:sz w:val="30"/>
          <w:szCs w:val="30"/>
          <w:shd w:val="clear" w:fill="FFFFFF"/>
        </w:rPr>
        <w:t>项目《</w:t>
      </w:r>
      <w:r>
        <w:rPr>
          <w:rFonts w:hint="eastAsia" w:ascii="宋体" w:hAnsi="宋体" w:cs="仿宋_GB2312"/>
          <w:i w:val="0"/>
          <w:iCs w:val="0"/>
          <w:caps w:val="0"/>
          <w:color w:val="333333"/>
          <w:spacing w:val="6"/>
          <w:sz w:val="30"/>
          <w:szCs w:val="30"/>
          <w:shd w:val="clear" w:fill="FFFFFF"/>
          <w:lang w:val="en-US" w:eastAsia="zh-CN"/>
        </w:rPr>
        <w:t>2024年度</w:t>
      </w:r>
      <w:r>
        <w:rPr>
          <w:rFonts w:hint="eastAsia" w:ascii="宋体" w:hAnsi="宋体" w:eastAsia="仿宋_GB2312" w:cs="仿宋_GB2312"/>
          <w:i w:val="0"/>
          <w:iCs w:val="0"/>
          <w:caps w:val="0"/>
          <w:color w:val="333333"/>
          <w:spacing w:val="6"/>
          <w:sz w:val="30"/>
          <w:szCs w:val="30"/>
          <w:shd w:val="clear" w:fill="FFFFFF"/>
        </w:rPr>
        <w:t>地方政府专项债券项目绩效目标申报表》，</w:t>
      </w:r>
      <w:r>
        <w:rPr>
          <w:rFonts w:hint="eastAsia" w:ascii="宋体" w:hAnsi="宋体" w:eastAsia="仿宋_GB2312" w:cs="仿宋_GB2312"/>
          <w:i w:val="0"/>
          <w:iCs w:val="0"/>
          <w:caps w:val="0"/>
          <w:color w:val="333333"/>
          <w:spacing w:val="6"/>
          <w:sz w:val="30"/>
          <w:szCs w:val="30"/>
          <w:shd w:val="clear" w:fill="FFFFFF"/>
          <w:lang w:val="en-US" w:eastAsia="zh-CN"/>
        </w:rPr>
        <w:t>申报表中</w:t>
      </w:r>
      <w:r>
        <w:rPr>
          <w:rFonts w:hint="eastAsia" w:ascii="宋体" w:hAnsi="宋体" w:eastAsia="仿宋_GB2312" w:cs="仿宋_GB2312"/>
          <w:i w:val="0"/>
          <w:iCs w:val="0"/>
          <w:caps w:val="0"/>
          <w:color w:val="333333"/>
          <w:spacing w:val="6"/>
          <w:sz w:val="30"/>
          <w:szCs w:val="30"/>
          <w:shd w:val="clear" w:fill="FFFFFF"/>
        </w:rPr>
        <w:t>设立绩效目标，</w:t>
      </w:r>
      <w:r>
        <w:rPr>
          <w:rFonts w:hint="eastAsia" w:ascii="宋体" w:hAnsi="宋体" w:cs="仿宋_GB2312"/>
          <w:i w:val="0"/>
          <w:iCs w:val="0"/>
          <w:caps w:val="0"/>
          <w:color w:val="333333"/>
          <w:spacing w:val="6"/>
          <w:sz w:val="30"/>
          <w:szCs w:val="30"/>
          <w:shd w:val="clear" w:fill="FFFFFF"/>
          <w:lang w:val="en-US" w:eastAsia="zh-CN"/>
        </w:rPr>
        <w:t>与本项目内容相符</w:t>
      </w:r>
      <w:r>
        <w:rPr>
          <w:rFonts w:hint="eastAsia" w:ascii="宋体" w:hAnsi="宋体" w:cs="仿宋_GB2312"/>
          <w:i w:val="0"/>
          <w:iCs w:val="0"/>
          <w:caps w:val="0"/>
          <w:color w:val="333333"/>
          <w:spacing w:val="6"/>
          <w:sz w:val="30"/>
          <w:szCs w:val="30"/>
          <w:highlight w:val="none"/>
          <w:shd w:val="clear" w:fill="FFFFFF"/>
          <w:lang w:val="en-US" w:eastAsia="zh-CN"/>
        </w:rPr>
        <w:t>，</w:t>
      </w:r>
      <w:r>
        <w:rPr>
          <w:rFonts w:hint="eastAsia" w:ascii="宋体" w:hAnsi="宋体" w:eastAsia="仿宋_GB2312" w:cs="仿宋_GB2312"/>
          <w:i w:val="0"/>
          <w:iCs w:val="0"/>
          <w:caps w:val="0"/>
          <w:color w:val="333333"/>
          <w:spacing w:val="6"/>
          <w:sz w:val="30"/>
          <w:szCs w:val="30"/>
          <w:highlight w:val="none"/>
          <w:shd w:val="clear" w:fill="FFFFFF"/>
        </w:rPr>
        <w:t>绩效目标与</w:t>
      </w:r>
      <w:r>
        <w:rPr>
          <w:rFonts w:hint="eastAsia" w:ascii="宋体" w:hAnsi="宋体" w:cs="仿宋_GB2312"/>
          <w:i w:val="0"/>
          <w:iCs w:val="0"/>
          <w:caps w:val="0"/>
          <w:color w:val="333333"/>
          <w:spacing w:val="6"/>
          <w:sz w:val="30"/>
          <w:szCs w:val="30"/>
          <w:highlight w:val="none"/>
          <w:shd w:val="clear" w:fill="FFFFFF"/>
          <w:lang w:val="en-US" w:eastAsia="zh-CN"/>
        </w:rPr>
        <w:t>概算需求的</w:t>
      </w:r>
      <w:r>
        <w:rPr>
          <w:rFonts w:hint="eastAsia" w:ascii="宋体" w:hAnsi="宋体" w:eastAsia="仿宋_GB2312" w:cs="仿宋_GB2312"/>
          <w:i w:val="0"/>
          <w:iCs w:val="0"/>
          <w:caps w:val="0"/>
          <w:color w:val="333333"/>
          <w:spacing w:val="6"/>
          <w:sz w:val="30"/>
          <w:szCs w:val="30"/>
          <w:highlight w:val="none"/>
          <w:shd w:val="clear" w:fill="FFFFFF"/>
        </w:rPr>
        <w:t>资金量相匹配</w:t>
      </w:r>
      <w:r>
        <w:rPr>
          <w:rFonts w:hint="eastAsia" w:ascii="宋体" w:hAnsi="宋体" w:cs="仿宋_GB2312"/>
          <w:i w:val="0"/>
          <w:iCs w:val="0"/>
          <w:caps w:val="0"/>
          <w:color w:val="333333"/>
          <w:spacing w:val="6"/>
          <w:sz w:val="30"/>
          <w:szCs w:val="30"/>
          <w:highlight w:val="none"/>
          <w:shd w:val="clear" w:fill="FFFFFF"/>
          <w:lang w:eastAsia="zh-CN"/>
        </w:rPr>
        <w:t>，</w:t>
      </w:r>
      <w:r>
        <w:rPr>
          <w:rFonts w:hint="eastAsia" w:ascii="宋体" w:hAnsi="宋体" w:cs="仿宋_GB2312"/>
          <w:i w:val="0"/>
          <w:iCs w:val="0"/>
          <w:caps w:val="0"/>
          <w:color w:val="333333"/>
          <w:spacing w:val="6"/>
          <w:sz w:val="30"/>
          <w:szCs w:val="30"/>
          <w:highlight w:val="none"/>
          <w:shd w:val="clear" w:fill="FFFFFF"/>
          <w:lang w:val="en-US" w:eastAsia="zh-CN"/>
        </w:rPr>
        <w:t>同时预期产出的效益和效果符合当地经济发展需求</w:t>
      </w:r>
      <w:r>
        <w:rPr>
          <w:rFonts w:hint="eastAsia" w:ascii="宋体" w:hAnsi="宋体" w:eastAsia="仿宋_GB2312" w:cs="仿宋_GB2312"/>
          <w:i w:val="0"/>
          <w:iCs w:val="0"/>
          <w:caps w:val="0"/>
          <w:color w:val="333333"/>
          <w:spacing w:val="6"/>
          <w:sz w:val="30"/>
          <w:szCs w:val="30"/>
          <w:highlight w:val="none"/>
          <w:shd w:val="clear" w:fill="FFFFFF"/>
        </w:rPr>
        <w:t>。</w:t>
      </w:r>
    </w:p>
    <w:p w14:paraId="4F3EDA83">
      <w:pPr>
        <w:pStyle w:val="5"/>
        <w:bidi w:val="0"/>
        <w:rPr>
          <w:rFonts w:hint="eastAsia" w:ascii="宋体" w:hAnsi="宋体"/>
        </w:rPr>
      </w:pPr>
      <w:r>
        <w:rPr>
          <w:rFonts w:hint="eastAsia" w:ascii="宋体" w:hAnsi="宋体"/>
        </w:rPr>
        <w:t>（2）绩效指标明确性</w:t>
      </w:r>
    </w:p>
    <w:p w14:paraId="49345699">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both"/>
        <w:textAlignment w:val="baseline"/>
        <w:rPr>
          <w:rFonts w:hint="eastAsia" w:ascii="宋体" w:hAnsi="宋体" w:eastAsia="仿宋_GB2312" w:cs="仿宋_GB2312"/>
          <w:spacing w:val="6"/>
          <w:sz w:val="30"/>
          <w:szCs w:val="30"/>
          <w:highlight w:val="none"/>
        </w:rPr>
      </w:pPr>
      <w:r>
        <w:rPr>
          <w:rFonts w:hint="eastAsia" w:ascii="宋体" w:hAnsi="宋体" w:eastAsia="仿宋_GB2312" w:cs="仿宋_GB2312"/>
          <w:i w:val="0"/>
          <w:iCs w:val="0"/>
          <w:caps w:val="0"/>
          <w:color w:val="333333"/>
          <w:spacing w:val="6"/>
          <w:sz w:val="30"/>
          <w:szCs w:val="30"/>
          <w:shd w:val="clear" w:fill="FFFFFF"/>
        </w:rPr>
        <w:t>指标分值</w:t>
      </w:r>
      <w:r>
        <w:rPr>
          <w:rFonts w:hint="eastAsia" w:ascii="宋体" w:hAnsi="宋体" w:cs="仿宋_GB2312"/>
          <w:i w:val="0"/>
          <w:iCs w:val="0"/>
          <w:caps w:val="0"/>
          <w:color w:val="333333"/>
          <w:spacing w:val="6"/>
          <w:sz w:val="30"/>
          <w:szCs w:val="30"/>
          <w:shd w:val="clear" w:fill="FFFFFF"/>
          <w:lang w:val="en-US" w:eastAsia="zh-CN"/>
        </w:rPr>
        <w:t>5</w:t>
      </w:r>
      <w:r>
        <w:rPr>
          <w:rFonts w:hint="eastAsia" w:ascii="宋体" w:hAnsi="宋体" w:eastAsia="仿宋_GB2312" w:cs="仿宋_GB2312"/>
          <w:i w:val="0"/>
          <w:iCs w:val="0"/>
          <w:caps w:val="0"/>
          <w:color w:val="333333"/>
          <w:spacing w:val="6"/>
          <w:sz w:val="30"/>
          <w:szCs w:val="30"/>
          <w:shd w:val="clear" w:fill="FFFFFF"/>
        </w:rPr>
        <w:t>分，得</w:t>
      </w:r>
      <w:r>
        <w:rPr>
          <w:rFonts w:hint="eastAsia" w:ascii="宋体" w:hAnsi="宋体" w:cs="仿宋_GB2312"/>
          <w:i w:val="0"/>
          <w:iCs w:val="0"/>
          <w:caps w:val="0"/>
          <w:color w:val="333333"/>
          <w:spacing w:val="6"/>
          <w:sz w:val="30"/>
          <w:szCs w:val="30"/>
          <w:shd w:val="clear" w:fill="FFFFFF"/>
          <w:lang w:val="en-US" w:eastAsia="zh-CN"/>
        </w:rPr>
        <w:t>5</w:t>
      </w:r>
      <w:r>
        <w:rPr>
          <w:rFonts w:hint="eastAsia" w:ascii="宋体" w:hAnsi="宋体" w:eastAsia="仿宋_GB2312" w:cs="仿宋_GB2312"/>
          <w:i w:val="0"/>
          <w:iCs w:val="0"/>
          <w:caps w:val="0"/>
          <w:color w:val="333333"/>
          <w:spacing w:val="6"/>
          <w:sz w:val="30"/>
          <w:szCs w:val="30"/>
          <w:shd w:val="clear" w:fill="FFFFFF"/>
        </w:rPr>
        <w:t>分。</w:t>
      </w:r>
      <w:r>
        <w:rPr>
          <w:rFonts w:hint="eastAsia" w:ascii="宋体" w:hAnsi="宋体" w:eastAsia="仿宋_GB2312" w:cs="仿宋_GB2312"/>
          <w:i w:val="0"/>
          <w:iCs w:val="0"/>
          <w:caps w:val="0"/>
          <w:color w:val="333333"/>
          <w:spacing w:val="6"/>
          <w:sz w:val="30"/>
          <w:szCs w:val="30"/>
          <w:highlight w:val="none"/>
          <w:shd w:val="clear" w:fill="FFFFFF"/>
        </w:rPr>
        <w:t>依据</w:t>
      </w:r>
      <w:r>
        <w:rPr>
          <w:rFonts w:hint="eastAsia" w:ascii="宋体" w:hAnsi="宋体" w:cs="仿宋_GB2312"/>
          <w:i w:val="0"/>
          <w:iCs w:val="0"/>
          <w:caps w:val="0"/>
          <w:color w:val="333333"/>
          <w:spacing w:val="6"/>
          <w:sz w:val="30"/>
          <w:szCs w:val="30"/>
          <w:highlight w:val="none"/>
          <w:shd w:val="clear" w:fill="FFFFFF"/>
          <w:lang w:val="en-US" w:eastAsia="zh-CN"/>
        </w:rPr>
        <w:t>长春市宽城区医院</w:t>
      </w:r>
      <w:r>
        <w:rPr>
          <w:rFonts w:hint="eastAsia" w:ascii="宋体" w:hAnsi="宋体" w:eastAsia="仿宋_GB2312" w:cs="仿宋_GB2312"/>
          <w:i w:val="0"/>
          <w:iCs w:val="0"/>
          <w:caps w:val="0"/>
          <w:color w:val="333333"/>
          <w:spacing w:val="6"/>
          <w:sz w:val="30"/>
          <w:szCs w:val="30"/>
          <w:highlight w:val="none"/>
          <w:shd w:val="clear" w:fill="FFFFFF"/>
        </w:rPr>
        <w:t>提供的</w:t>
      </w:r>
      <w:r>
        <w:rPr>
          <w:rFonts w:hint="eastAsia" w:ascii="宋体" w:hAnsi="宋体" w:cs="仿宋_GB2312"/>
          <w:spacing w:val="-8"/>
          <w:sz w:val="30"/>
          <w:szCs w:val="30"/>
          <w:highlight w:val="none"/>
          <w:lang w:val="en-US" w:eastAsia="zh-CN"/>
        </w:rPr>
        <w:t>本</w:t>
      </w:r>
      <w:r>
        <w:rPr>
          <w:rFonts w:hint="eastAsia" w:ascii="宋体" w:hAnsi="宋体" w:eastAsia="仿宋_GB2312" w:cs="仿宋_GB2312"/>
          <w:spacing w:val="-8"/>
          <w:sz w:val="30"/>
          <w:szCs w:val="30"/>
          <w:highlight w:val="none"/>
          <w:lang w:val="en-US" w:eastAsia="zh-CN"/>
        </w:rPr>
        <w:t>项目</w:t>
      </w:r>
      <w:r>
        <w:rPr>
          <w:rFonts w:hint="eastAsia" w:ascii="宋体" w:hAnsi="宋体" w:eastAsia="仿宋_GB2312" w:cs="仿宋_GB2312"/>
          <w:i w:val="0"/>
          <w:iCs w:val="0"/>
          <w:caps w:val="0"/>
          <w:color w:val="333333"/>
          <w:spacing w:val="6"/>
          <w:sz w:val="30"/>
          <w:szCs w:val="30"/>
          <w:shd w:val="clear" w:fill="FFFFFF"/>
        </w:rPr>
        <w:t>《地方政府专项债券项目绩效目标申报表</w:t>
      </w:r>
      <w:r>
        <w:rPr>
          <w:rFonts w:hint="eastAsia" w:ascii="宋体" w:hAnsi="宋体" w:cs="仿宋_GB2312"/>
          <w:i w:val="0"/>
          <w:iCs w:val="0"/>
          <w:caps w:val="0"/>
          <w:color w:val="333333"/>
          <w:spacing w:val="6"/>
          <w:sz w:val="30"/>
          <w:szCs w:val="30"/>
          <w:shd w:val="clear" w:fill="FFFFFF"/>
          <w:lang w:eastAsia="zh-CN"/>
        </w:rPr>
        <w:t>（</w:t>
      </w:r>
      <w:r>
        <w:rPr>
          <w:rFonts w:hint="eastAsia" w:ascii="宋体" w:hAnsi="宋体" w:cs="仿宋_GB2312"/>
          <w:i w:val="0"/>
          <w:iCs w:val="0"/>
          <w:caps w:val="0"/>
          <w:color w:val="333333"/>
          <w:spacing w:val="6"/>
          <w:sz w:val="30"/>
          <w:szCs w:val="30"/>
          <w:shd w:val="clear" w:fill="FFFFFF"/>
          <w:lang w:val="en-US" w:eastAsia="zh-CN"/>
        </w:rPr>
        <w:t>2024年度</w:t>
      </w:r>
      <w:r>
        <w:rPr>
          <w:rFonts w:hint="eastAsia" w:ascii="宋体" w:hAnsi="宋体" w:cs="仿宋_GB2312"/>
          <w:i w:val="0"/>
          <w:iCs w:val="0"/>
          <w:caps w:val="0"/>
          <w:color w:val="333333"/>
          <w:spacing w:val="6"/>
          <w:sz w:val="30"/>
          <w:szCs w:val="30"/>
          <w:shd w:val="clear" w:fill="FFFFFF"/>
          <w:lang w:eastAsia="zh-CN"/>
        </w:rPr>
        <w:t>）</w:t>
      </w:r>
      <w:r>
        <w:rPr>
          <w:rFonts w:hint="eastAsia" w:ascii="宋体" w:hAnsi="宋体" w:eastAsia="仿宋_GB2312" w:cs="仿宋_GB2312"/>
          <w:i w:val="0"/>
          <w:iCs w:val="0"/>
          <w:caps w:val="0"/>
          <w:color w:val="333333"/>
          <w:spacing w:val="6"/>
          <w:sz w:val="30"/>
          <w:szCs w:val="30"/>
          <w:shd w:val="clear" w:fill="FFFFFF"/>
        </w:rPr>
        <w:t>》</w:t>
      </w:r>
      <w:r>
        <w:rPr>
          <w:rFonts w:hint="eastAsia" w:ascii="宋体" w:hAnsi="宋体" w:eastAsia="仿宋_GB2312" w:cs="仿宋_GB2312"/>
          <w:i w:val="0"/>
          <w:iCs w:val="0"/>
          <w:caps w:val="0"/>
          <w:color w:val="333333"/>
          <w:spacing w:val="6"/>
          <w:sz w:val="30"/>
          <w:szCs w:val="30"/>
          <w:shd w:val="clear" w:fill="FFFFFF"/>
          <w:lang w:eastAsia="zh-CN"/>
        </w:rPr>
        <w:t>，</w:t>
      </w:r>
      <w:r>
        <w:rPr>
          <w:rFonts w:hint="eastAsia" w:ascii="宋体" w:hAnsi="宋体" w:eastAsia="仿宋_GB2312" w:cs="仿宋_GB2312"/>
          <w:i w:val="0"/>
          <w:iCs w:val="0"/>
          <w:caps w:val="0"/>
          <w:color w:val="333333"/>
          <w:spacing w:val="6"/>
          <w:sz w:val="30"/>
          <w:szCs w:val="30"/>
          <w:shd w:val="clear" w:fill="FFFFFF"/>
          <w:lang w:val="en-US" w:eastAsia="zh-CN"/>
        </w:rPr>
        <w:t>申报表中</w:t>
      </w:r>
      <w:r>
        <w:rPr>
          <w:rFonts w:hint="eastAsia" w:ascii="宋体" w:hAnsi="宋体" w:eastAsia="仿宋_GB2312" w:cs="仿宋_GB2312"/>
          <w:i w:val="0"/>
          <w:iCs w:val="0"/>
          <w:caps w:val="0"/>
          <w:color w:val="333333"/>
          <w:spacing w:val="6"/>
          <w:sz w:val="30"/>
          <w:szCs w:val="30"/>
          <w:shd w:val="clear" w:fill="FFFFFF"/>
        </w:rPr>
        <w:t>将项目绩效目标细化</w:t>
      </w:r>
      <w:r>
        <w:rPr>
          <w:rFonts w:hint="eastAsia" w:ascii="宋体" w:hAnsi="宋体" w:eastAsia="仿宋_GB2312" w:cs="仿宋_GB2312"/>
          <w:i w:val="0"/>
          <w:iCs w:val="0"/>
          <w:caps w:val="0"/>
          <w:color w:val="333333"/>
          <w:spacing w:val="6"/>
          <w:sz w:val="30"/>
          <w:szCs w:val="30"/>
          <w:highlight w:val="none"/>
          <w:shd w:val="clear" w:fill="FFFFFF"/>
        </w:rPr>
        <w:t>分解为具体的绩效指标，通过清晰、可衡量的指标值予以体现</w:t>
      </w:r>
      <w:r>
        <w:rPr>
          <w:rFonts w:hint="eastAsia" w:ascii="宋体" w:hAnsi="宋体" w:cs="仿宋_GB2312"/>
          <w:i w:val="0"/>
          <w:iCs w:val="0"/>
          <w:caps w:val="0"/>
          <w:color w:val="333333"/>
          <w:spacing w:val="6"/>
          <w:sz w:val="30"/>
          <w:szCs w:val="30"/>
          <w:highlight w:val="none"/>
          <w:shd w:val="clear" w:fill="FFFFFF"/>
          <w:lang w:eastAsia="zh-CN"/>
        </w:rPr>
        <w:t>，</w:t>
      </w:r>
      <w:r>
        <w:rPr>
          <w:rFonts w:hint="eastAsia" w:ascii="宋体" w:hAnsi="宋体" w:eastAsia="仿宋_GB2312" w:cs="仿宋_GB2312"/>
          <w:i w:val="0"/>
          <w:iCs w:val="0"/>
          <w:caps w:val="0"/>
          <w:color w:val="333333"/>
          <w:spacing w:val="6"/>
          <w:sz w:val="30"/>
          <w:szCs w:val="30"/>
          <w:highlight w:val="none"/>
          <w:shd w:val="clear" w:fill="FFFFFF"/>
        </w:rPr>
        <w:t>与项目目标任务数相对应。</w:t>
      </w:r>
    </w:p>
    <w:p w14:paraId="34274B25">
      <w:pPr>
        <w:pStyle w:val="4"/>
        <w:bidi w:val="0"/>
        <w:rPr>
          <w:rFonts w:hint="eastAsia" w:ascii="宋体" w:hAnsi="宋体"/>
          <w:lang w:eastAsia="zh-CN"/>
        </w:rPr>
      </w:pPr>
      <w:bookmarkStart w:id="86" w:name="_Toc6462"/>
      <w:bookmarkStart w:id="87" w:name="_Toc28891"/>
      <w:bookmarkStart w:id="88" w:name="_Toc17543"/>
      <w:r>
        <w:rPr>
          <w:rFonts w:hint="eastAsia" w:ascii="宋体" w:hAnsi="宋体"/>
        </w:rPr>
        <w:t>3.资金</w:t>
      </w:r>
      <w:r>
        <w:rPr>
          <w:rFonts w:hint="eastAsia" w:ascii="宋体" w:hAnsi="宋体"/>
          <w:lang w:val="en-US" w:eastAsia="zh-CN"/>
        </w:rPr>
        <w:t>分配（满分8分，得分8分）</w:t>
      </w:r>
      <w:bookmarkEnd w:id="86"/>
      <w:bookmarkEnd w:id="87"/>
      <w:bookmarkEnd w:id="88"/>
    </w:p>
    <w:p w14:paraId="3CB5409E">
      <w:pPr>
        <w:pStyle w:val="5"/>
        <w:bidi w:val="0"/>
        <w:rPr>
          <w:rFonts w:hint="eastAsia" w:ascii="宋体" w:hAnsi="宋体"/>
        </w:rPr>
      </w:pPr>
      <w:r>
        <w:rPr>
          <w:rFonts w:hint="eastAsia" w:ascii="宋体" w:hAnsi="宋体"/>
        </w:rPr>
        <w:t>（1）</w:t>
      </w:r>
      <w:r>
        <w:rPr>
          <w:rFonts w:hint="eastAsia" w:ascii="宋体" w:hAnsi="宋体"/>
          <w:lang w:val="en-US" w:eastAsia="zh-CN"/>
        </w:rPr>
        <w:t>平衡方案</w:t>
      </w:r>
      <w:r>
        <w:rPr>
          <w:rFonts w:hint="eastAsia" w:ascii="宋体" w:hAnsi="宋体"/>
        </w:rPr>
        <w:t>编制科学性</w:t>
      </w:r>
    </w:p>
    <w:p w14:paraId="336E2A3C">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both"/>
        <w:textAlignment w:val="baseline"/>
        <w:rPr>
          <w:rFonts w:hint="eastAsia" w:ascii="宋体" w:hAnsi="宋体" w:eastAsia="仿宋_GB2312" w:cs="仿宋_GB2312"/>
          <w:i w:val="0"/>
          <w:iCs w:val="0"/>
          <w:caps w:val="0"/>
          <w:color w:val="333333"/>
          <w:spacing w:val="6"/>
          <w:sz w:val="30"/>
          <w:szCs w:val="30"/>
          <w:highlight w:val="green"/>
          <w:shd w:val="clear" w:fill="FFFFFF"/>
          <w:lang w:val="en-US"/>
        </w:rPr>
      </w:pPr>
      <w:r>
        <w:rPr>
          <w:rFonts w:hint="eastAsia" w:ascii="宋体" w:hAnsi="宋体" w:eastAsia="仿宋_GB2312" w:cs="仿宋_GB2312"/>
          <w:i w:val="0"/>
          <w:iCs w:val="0"/>
          <w:caps w:val="0"/>
          <w:color w:val="333333"/>
          <w:spacing w:val="6"/>
          <w:sz w:val="30"/>
          <w:szCs w:val="30"/>
          <w:shd w:val="clear" w:fill="FFFFFF"/>
        </w:rPr>
        <w:t>指标分值</w:t>
      </w:r>
      <w:r>
        <w:rPr>
          <w:rFonts w:hint="eastAsia" w:ascii="宋体" w:hAnsi="宋体"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rPr>
        <w:t>分，得</w:t>
      </w:r>
      <w:r>
        <w:rPr>
          <w:rFonts w:hint="eastAsia" w:ascii="宋体" w:hAnsi="宋体"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rPr>
        <w:t>分。</w:t>
      </w:r>
      <w:r>
        <w:rPr>
          <w:rFonts w:hint="eastAsia" w:ascii="宋体" w:hAnsi="宋体" w:eastAsia="仿宋_GB2312" w:cs="仿宋_GB2312"/>
          <w:i w:val="0"/>
          <w:iCs w:val="0"/>
          <w:caps w:val="0"/>
          <w:color w:val="333333"/>
          <w:spacing w:val="6"/>
          <w:sz w:val="30"/>
          <w:szCs w:val="30"/>
          <w:shd w:val="clear" w:fill="FFFFFF"/>
          <w:lang w:val="en-US" w:eastAsia="zh-CN"/>
        </w:rPr>
        <w:t>本项目平衡方案的编制内容完整、体系</w:t>
      </w:r>
      <w:r>
        <w:rPr>
          <w:rFonts w:hint="eastAsia" w:ascii="宋体" w:hAnsi="宋体" w:cs="仿宋_GB2312"/>
          <w:i w:val="0"/>
          <w:iCs w:val="0"/>
          <w:caps w:val="0"/>
          <w:color w:val="333333"/>
          <w:spacing w:val="6"/>
          <w:sz w:val="30"/>
          <w:szCs w:val="30"/>
          <w:shd w:val="clear" w:fill="FFFFFF"/>
          <w:lang w:val="en-US" w:eastAsia="zh-CN"/>
        </w:rPr>
        <w:t>设计科学</w:t>
      </w:r>
      <w:r>
        <w:rPr>
          <w:rFonts w:hint="eastAsia" w:ascii="宋体" w:hAnsi="宋体" w:eastAsia="仿宋_GB2312" w:cs="仿宋_GB2312"/>
          <w:i w:val="0"/>
          <w:iCs w:val="0"/>
          <w:caps w:val="0"/>
          <w:color w:val="333333"/>
          <w:spacing w:val="6"/>
          <w:sz w:val="30"/>
          <w:szCs w:val="30"/>
          <w:shd w:val="clear" w:fill="FFFFFF"/>
          <w:lang w:val="en-US" w:eastAsia="zh-CN"/>
        </w:rPr>
        <w:t>，资金分配及各年申请专项债券额度较为合理，</w:t>
      </w:r>
      <w:r>
        <w:rPr>
          <w:rFonts w:hint="eastAsia" w:ascii="宋体" w:hAnsi="宋体" w:eastAsia="仿宋_GB2312" w:cs="仿宋_GB2312"/>
          <w:i w:val="0"/>
          <w:iCs w:val="0"/>
          <w:caps w:val="0"/>
          <w:color w:val="333333"/>
          <w:spacing w:val="6"/>
          <w:sz w:val="30"/>
          <w:szCs w:val="30"/>
          <w:highlight w:val="none"/>
          <w:shd w:val="clear" w:fill="FFFFFF"/>
          <w:lang w:val="en-US" w:eastAsia="zh-CN"/>
        </w:rPr>
        <w:t>平衡方案编制的内容与申请专项债券项目内容相匹配。本项目总投资55,169.10万元，其中拟利用地方财政预算资金14,369.10万</w:t>
      </w:r>
      <w:r>
        <w:rPr>
          <w:rFonts w:hint="eastAsia" w:ascii="宋体" w:hAnsi="宋体" w:cs="仿宋_GB2312"/>
          <w:i w:val="0"/>
          <w:iCs w:val="0"/>
          <w:caps w:val="0"/>
          <w:color w:val="333333"/>
          <w:spacing w:val="6"/>
          <w:sz w:val="30"/>
          <w:szCs w:val="30"/>
          <w:highlight w:val="none"/>
          <w:shd w:val="clear" w:fill="FFFFFF"/>
          <w:lang w:val="en-US" w:eastAsia="zh-CN"/>
        </w:rPr>
        <w:t>元</w:t>
      </w:r>
      <w:r>
        <w:rPr>
          <w:rFonts w:hint="eastAsia" w:ascii="宋体" w:hAnsi="宋体" w:eastAsia="仿宋_GB2312" w:cs="仿宋_GB2312"/>
          <w:i w:val="0"/>
          <w:iCs w:val="0"/>
          <w:caps w:val="0"/>
          <w:color w:val="333333"/>
          <w:spacing w:val="6"/>
          <w:sz w:val="30"/>
          <w:szCs w:val="30"/>
          <w:highlight w:val="none"/>
          <w:shd w:val="clear" w:fill="FFFFFF"/>
          <w:lang w:val="en-US" w:eastAsia="zh-CN"/>
        </w:rPr>
        <w:t>，占比26.05%，发行专项债券40,800万元，占比73.95%。资金额度满足专项债券资金管理要求。</w:t>
      </w:r>
    </w:p>
    <w:p w14:paraId="44E73D01">
      <w:pPr>
        <w:pStyle w:val="5"/>
        <w:bidi w:val="0"/>
        <w:rPr>
          <w:rFonts w:hint="eastAsia" w:ascii="宋体" w:hAnsi="宋体"/>
          <w:lang w:val="en-US" w:eastAsia="zh-CN"/>
        </w:rPr>
      </w:pPr>
      <w:r>
        <w:rPr>
          <w:rFonts w:hint="eastAsia" w:ascii="宋体" w:hAnsi="宋体"/>
          <w:lang w:eastAsia="zh-CN"/>
        </w:rPr>
        <w:t>（</w:t>
      </w:r>
      <w:r>
        <w:rPr>
          <w:rFonts w:hint="eastAsia" w:ascii="宋体" w:hAnsi="宋体"/>
          <w:lang w:val="en-US" w:eastAsia="zh-CN"/>
        </w:rPr>
        <w:t>2</w:t>
      </w:r>
      <w:r>
        <w:rPr>
          <w:rFonts w:hint="eastAsia" w:ascii="宋体" w:hAnsi="宋体"/>
          <w:lang w:eastAsia="zh-CN"/>
        </w:rPr>
        <w:t>）</w:t>
      </w:r>
      <w:r>
        <w:rPr>
          <w:rFonts w:hint="eastAsia" w:ascii="宋体" w:hAnsi="宋体"/>
          <w:lang w:val="en-US" w:eastAsia="zh-CN"/>
        </w:rPr>
        <w:t>资金分配的合理性</w:t>
      </w:r>
    </w:p>
    <w:p w14:paraId="768770DA">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shd w:val="clear" w:fill="FFFFFF"/>
        </w:rPr>
      </w:pPr>
      <w:r>
        <w:rPr>
          <w:rFonts w:hint="eastAsia" w:ascii="宋体" w:hAnsi="宋体" w:eastAsia="仿宋_GB2312" w:cs="仿宋_GB2312"/>
          <w:i w:val="0"/>
          <w:iCs w:val="0"/>
          <w:caps w:val="0"/>
          <w:color w:val="333333"/>
          <w:spacing w:val="6"/>
          <w:sz w:val="30"/>
          <w:szCs w:val="30"/>
          <w:shd w:val="clear" w:fill="FFFFFF"/>
          <w:lang w:val="en-US" w:eastAsia="zh-CN"/>
        </w:rPr>
        <w:t>指标分值</w:t>
      </w:r>
      <w:r>
        <w:rPr>
          <w:rFonts w:hint="eastAsia" w:ascii="宋体" w:hAnsi="宋体"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lang w:val="en-US" w:eastAsia="zh-CN"/>
        </w:rPr>
        <w:t>分，得</w:t>
      </w:r>
      <w:r>
        <w:rPr>
          <w:rFonts w:hint="eastAsia" w:ascii="宋体" w:hAnsi="宋体"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lang w:val="en-US" w:eastAsia="zh-CN"/>
        </w:rPr>
        <w:t>分。依据本项目平衡方案，本项目专项债资金额度与当年专项债项目任务相匹配，专项债券资金分配使用依据充分</w:t>
      </w:r>
      <w:r>
        <w:rPr>
          <w:rFonts w:hint="eastAsia" w:ascii="宋体" w:hAnsi="宋体" w:cs="仿宋_GB2312"/>
          <w:i w:val="0"/>
          <w:iCs w:val="0"/>
          <w:caps w:val="0"/>
          <w:color w:val="333333"/>
          <w:spacing w:val="6"/>
          <w:sz w:val="30"/>
          <w:szCs w:val="30"/>
          <w:shd w:val="clear" w:fill="FFFFFF"/>
          <w:lang w:val="en-US" w:eastAsia="zh-CN"/>
        </w:rPr>
        <w:t>，</w:t>
      </w:r>
      <w:r>
        <w:rPr>
          <w:rFonts w:hint="eastAsia" w:ascii="宋体" w:hAnsi="宋体" w:eastAsia="仿宋_GB2312" w:cs="仿宋_GB2312"/>
          <w:i w:val="0"/>
          <w:iCs w:val="0"/>
          <w:caps w:val="0"/>
          <w:color w:val="333333"/>
          <w:spacing w:val="6"/>
          <w:sz w:val="30"/>
          <w:szCs w:val="30"/>
          <w:shd w:val="clear" w:fill="FFFFFF"/>
          <w:lang w:val="en-US" w:eastAsia="zh-CN"/>
        </w:rPr>
        <w:t>自筹资金、债券资金额度分配合理，项目全生命周期收益与拟发债期限相匹配。</w:t>
      </w:r>
    </w:p>
    <w:p w14:paraId="1537276A">
      <w:pPr>
        <w:pStyle w:val="2"/>
        <w:bidi w:val="0"/>
        <w:rPr>
          <w:rFonts w:hint="eastAsia" w:ascii="宋体" w:hAnsi="宋体"/>
        </w:rPr>
      </w:pPr>
      <w:bookmarkStart w:id="89" w:name="_Toc30894"/>
      <w:r>
        <w:rPr>
          <w:rFonts w:hint="eastAsia" w:ascii="宋体" w:hAnsi="宋体"/>
        </w:rPr>
        <w:t>（二）</w:t>
      </w:r>
      <w:r>
        <w:rPr>
          <w:rFonts w:hint="eastAsia" w:ascii="宋体" w:hAnsi="宋体"/>
          <w:lang w:val="en-US" w:eastAsia="zh-CN"/>
        </w:rPr>
        <w:t>管理</w:t>
      </w:r>
      <w:r>
        <w:rPr>
          <w:rFonts w:hint="eastAsia" w:ascii="宋体" w:hAnsi="宋体"/>
        </w:rPr>
        <w:t>情况分析</w:t>
      </w:r>
      <w:bookmarkEnd w:id="89"/>
    </w:p>
    <w:p w14:paraId="516281A8">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shd w:val="clear" w:fill="FFFFFF"/>
          <w:lang w:val="en-US" w:eastAsia="zh-CN"/>
        </w:rPr>
      </w:pPr>
      <w:r>
        <w:rPr>
          <w:rFonts w:hint="eastAsia" w:ascii="宋体" w:hAnsi="宋体" w:eastAsia="仿宋_GB2312" w:cs="仿宋_GB2312"/>
          <w:i w:val="0"/>
          <w:iCs w:val="0"/>
          <w:caps w:val="0"/>
          <w:color w:val="333333"/>
          <w:spacing w:val="6"/>
          <w:sz w:val="30"/>
          <w:szCs w:val="30"/>
          <w:shd w:val="clear" w:fill="FFFFFF"/>
          <w:lang w:val="en-US" w:eastAsia="zh-CN"/>
        </w:rPr>
        <w:t>“管理”指标涉及二级指标2个，三级指标5个。总分值为20分，得分1</w:t>
      </w:r>
      <w:r>
        <w:rPr>
          <w:rFonts w:hint="eastAsia" w:ascii="宋体" w:hAnsi="宋体" w:cs="仿宋_GB2312"/>
          <w:i w:val="0"/>
          <w:iCs w:val="0"/>
          <w:caps w:val="0"/>
          <w:color w:val="333333"/>
          <w:spacing w:val="6"/>
          <w:sz w:val="30"/>
          <w:szCs w:val="30"/>
          <w:shd w:val="clear" w:fill="FFFFFF"/>
          <w:lang w:val="en-US" w:eastAsia="zh-CN"/>
        </w:rPr>
        <w:t>8</w:t>
      </w:r>
      <w:r>
        <w:rPr>
          <w:rFonts w:hint="eastAsia" w:ascii="宋体" w:hAnsi="宋体" w:eastAsia="仿宋_GB2312" w:cs="仿宋_GB2312"/>
          <w:i w:val="0"/>
          <w:iCs w:val="0"/>
          <w:caps w:val="0"/>
          <w:color w:val="333333"/>
          <w:spacing w:val="6"/>
          <w:sz w:val="30"/>
          <w:szCs w:val="30"/>
          <w:shd w:val="clear" w:fill="FFFFFF"/>
          <w:lang w:val="en-US" w:eastAsia="zh-CN"/>
        </w:rPr>
        <w:t>分，得分率为</w:t>
      </w:r>
      <w:r>
        <w:rPr>
          <w:rFonts w:hint="eastAsia" w:ascii="宋体" w:hAnsi="宋体" w:cs="仿宋_GB2312"/>
          <w:i w:val="0"/>
          <w:iCs w:val="0"/>
          <w:caps w:val="0"/>
          <w:color w:val="333333"/>
          <w:spacing w:val="6"/>
          <w:sz w:val="30"/>
          <w:szCs w:val="30"/>
          <w:shd w:val="clear" w:fill="FFFFFF"/>
          <w:lang w:val="en-US" w:eastAsia="zh-CN"/>
        </w:rPr>
        <w:t>90</w:t>
      </w:r>
      <w:r>
        <w:rPr>
          <w:rFonts w:hint="eastAsia" w:ascii="宋体" w:hAnsi="宋体" w:eastAsia="仿宋_GB2312" w:cs="仿宋_GB2312"/>
          <w:i w:val="0"/>
          <w:iCs w:val="0"/>
          <w:caps w:val="0"/>
          <w:color w:val="333333"/>
          <w:spacing w:val="6"/>
          <w:sz w:val="30"/>
          <w:szCs w:val="30"/>
          <w:shd w:val="clear" w:fill="FFFFFF"/>
          <w:lang w:val="en-US" w:eastAsia="zh-CN"/>
        </w:rPr>
        <w:t>%。</w:t>
      </w:r>
      <w:bookmarkStart w:id="90" w:name="_Toc2104"/>
      <w:bookmarkStart w:id="91" w:name="_Toc27361"/>
    </w:p>
    <w:p w14:paraId="0F72B3CC">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shd w:val="clear" w:fill="FFFFFF"/>
          <w:lang w:val="en-US" w:eastAsia="zh-CN"/>
        </w:rPr>
      </w:pPr>
      <w:r>
        <w:rPr>
          <w:rFonts w:hint="eastAsia" w:ascii="宋体" w:hAnsi="宋体" w:eastAsia="仿宋_GB2312" w:cs="仿宋_GB2312"/>
          <w:i w:val="0"/>
          <w:iCs w:val="0"/>
          <w:caps w:val="0"/>
          <w:color w:val="333333"/>
          <w:spacing w:val="6"/>
          <w:sz w:val="30"/>
          <w:szCs w:val="30"/>
          <w:shd w:val="clear" w:fill="FFFFFF"/>
          <w:lang w:val="en-US" w:eastAsia="zh-CN"/>
        </w:rPr>
        <w:t>1.资金管理（满分</w:t>
      </w:r>
      <w:r>
        <w:rPr>
          <w:rFonts w:hint="eastAsia" w:ascii="宋体" w:hAnsi="宋体" w:cs="仿宋_GB2312"/>
          <w:i w:val="0"/>
          <w:iCs w:val="0"/>
          <w:caps w:val="0"/>
          <w:color w:val="333333"/>
          <w:spacing w:val="6"/>
          <w:sz w:val="30"/>
          <w:szCs w:val="30"/>
          <w:shd w:val="clear" w:fill="FFFFFF"/>
          <w:lang w:val="en-US" w:eastAsia="zh-CN"/>
        </w:rPr>
        <w:t>8</w:t>
      </w:r>
      <w:r>
        <w:rPr>
          <w:rFonts w:hint="eastAsia" w:ascii="宋体" w:hAnsi="宋体" w:eastAsia="仿宋_GB2312" w:cs="仿宋_GB2312"/>
          <w:i w:val="0"/>
          <w:iCs w:val="0"/>
          <w:caps w:val="0"/>
          <w:color w:val="333333"/>
          <w:spacing w:val="6"/>
          <w:sz w:val="30"/>
          <w:szCs w:val="30"/>
          <w:shd w:val="clear" w:fill="FFFFFF"/>
          <w:lang w:val="en-US" w:eastAsia="zh-CN"/>
        </w:rPr>
        <w:t>分，得分</w:t>
      </w:r>
      <w:r>
        <w:rPr>
          <w:rFonts w:hint="eastAsia" w:ascii="宋体" w:hAnsi="宋体" w:cs="仿宋_GB2312"/>
          <w:i w:val="0"/>
          <w:iCs w:val="0"/>
          <w:caps w:val="0"/>
          <w:color w:val="333333"/>
          <w:spacing w:val="6"/>
          <w:sz w:val="30"/>
          <w:szCs w:val="30"/>
          <w:shd w:val="clear" w:fill="FFFFFF"/>
          <w:lang w:val="en-US" w:eastAsia="zh-CN"/>
        </w:rPr>
        <w:t>7</w:t>
      </w:r>
      <w:r>
        <w:rPr>
          <w:rFonts w:hint="eastAsia" w:ascii="宋体" w:hAnsi="宋体" w:eastAsia="仿宋_GB2312" w:cs="仿宋_GB2312"/>
          <w:i w:val="0"/>
          <w:iCs w:val="0"/>
          <w:caps w:val="0"/>
          <w:color w:val="333333"/>
          <w:spacing w:val="6"/>
          <w:sz w:val="30"/>
          <w:szCs w:val="30"/>
          <w:shd w:val="clear" w:fill="FFFFFF"/>
          <w:lang w:val="en-US" w:eastAsia="zh-CN"/>
        </w:rPr>
        <w:t>分）</w:t>
      </w:r>
      <w:bookmarkEnd w:id="90"/>
      <w:bookmarkEnd w:id="91"/>
    </w:p>
    <w:p w14:paraId="76B6C642">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shd w:val="clear" w:fill="FFFFFF"/>
          <w:lang w:val="en-US" w:eastAsia="zh-CN"/>
        </w:rPr>
      </w:pPr>
      <w:r>
        <w:rPr>
          <w:rFonts w:hint="eastAsia" w:ascii="宋体" w:hAnsi="宋体" w:eastAsia="仿宋_GB2312" w:cs="仿宋_GB2312"/>
          <w:i w:val="0"/>
          <w:iCs w:val="0"/>
          <w:caps w:val="0"/>
          <w:color w:val="333333"/>
          <w:spacing w:val="6"/>
          <w:sz w:val="30"/>
          <w:szCs w:val="30"/>
          <w:shd w:val="clear" w:fill="FFFFFF"/>
          <w:lang w:val="en-US" w:eastAsia="zh-CN"/>
        </w:rPr>
        <w:t>（1）管理制度健全性</w:t>
      </w:r>
    </w:p>
    <w:p w14:paraId="66433E60">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000000"/>
          <w:spacing w:val="6"/>
          <w:sz w:val="30"/>
          <w:szCs w:val="30"/>
          <w:highlight w:val="none"/>
          <w:shd w:val="clear" w:fill="FFFFFF"/>
          <w:lang w:val="en-US" w:eastAsia="zh-CN"/>
        </w:rPr>
      </w:pPr>
      <w:r>
        <w:rPr>
          <w:rFonts w:hint="eastAsia" w:ascii="宋体" w:hAnsi="宋体" w:eastAsia="仿宋_GB2312" w:cs="仿宋_GB2312"/>
          <w:i w:val="0"/>
          <w:iCs w:val="0"/>
          <w:caps w:val="0"/>
          <w:color w:val="333333"/>
          <w:spacing w:val="6"/>
          <w:sz w:val="30"/>
          <w:szCs w:val="30"/>
          <w:shd w:val="clear" w:fill="FFFFFF"/>
          <w:lang w:val="en-US" w:eastAsia="zh-CN"/>
        </w:rPr>
        <w:t>指标分值</w:t>
      </w:r>
      <w:r>
        <w:rPr>
          <w:rFonts w:hint="eastAsia" w:ascii="宋体" w:hAnsi="宋体"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lang w:val="en-US" w:eastAsia="zh-CN"/>
        </w:rPr>
        <w:t>分，得分</w:t>
      </w:r>
      <w:r>
        <w:rPr>
          <w:rFonts w:hint="eastAsia" w:ascii="宋体" w:hAnsi="宋体" w:cs="仿宋_GB2312"/>
          <w:i w:val="0"/>
          <w:iCs w:val="0"/>
          <w:caps w:val="0"/>
          <w:color w:val="333333"/>
          <w:spacing w:val="6"/>
          <w:sz w:val="30"/>
          <w:szCs w:val="30"/>
          <w:shd w:val="clear" w:fill="FFFFFF"/>
          <w:lang w:val="en-US" w:eastAsia="zh-CN"/>
        </w:rPr>
        <w:t>3</w:t>
      </w:r>
      <w:r>
        <w:rPr>
          <w:rFonts w:hint="eastAsia" w:ascii="宋体" w:hAnsi="宋体" w:eastAsia="仿宋_GB2312" w:cs="仿宋_GB2312"/>
          <w:i w:val="0"/>
          <w:iCs w:val="0"/>
          <w:caps w:val="0"/>
          <w:color w:val="333333"/>
          <w:spacing w:val="6"/>
          <w:sz w:val="30"/>
          <w:szCs w:val="30"/>
          <w:shd w:val="clear" w:fill="FFFFFF"/>
          <w:lang w:val="en-US" w:eastAsia="zh-CN"/>
        </w:rPr>
        <w:t>.5分，扣0.5分。长春市宽城区医院成立了专门的管理机构负责项目建设和运营，对项目变更调整理由充分，手续完备。同时制定了专项债券财务管理制度，对资金收款、付款流程和资金使用进度进行了明确的规定，但在项目实施过程中整体流程不够细化，扣0.5分。</w:t>
      </w:r>
    </w:p>
    <w:p w14:paraId="64B55389">
      <w:pPr>
        <w:pStyle w:val="5"/>
        <w:bidi w:val="0"/>
        <w:rPr>
          <w:rFonts w:hint="eastAsia" w:ascii="宋体" w:hAnsi="宋体"/>
          <w:lang w:val="en-US" w:eastAsia="zh-CN"/>
        </w:rPr>
      </w:pPr>
      <w:r>
        <w:rPr>
          <w:rFonts w:hint="eastAsia" w:ascii="宋体" w:hAnsi="宋体"/>
          <w:lang w:eastAsia="zh-CN"/>
        </w:rPr>
        <w:t>（</w:t>
      </w:r>
      <w:r>
        <w:rPr>
          <w:rFonts w:hint="eastAsia" w:ascii="宋体" w:hAnsi="宋体"/>
          <w:lang w:val="en-US" w:eastAsia="zh-CN"/>
        </w:rPr>
        <w:t>2</w:t>
      </w:r>
      <w:r>
        <w:rPr>
          <w:rFonts w:hint="eastAsia" w:ascii="宋体" w:hAnsi="宋体"/>
          <w:lang w:eastAsia="zh-CN"/>
        </w:rPr>
        <w:t>）</w:t>
      </w:r>
      <w:r>
        <w:rPr>
          <w:rFonts w:hint="eastAsia" w:ascii="宋体" w:hAnsi="宋体"/>
          <w:lang w:val="en-US" w:eastAsia="zh-CN"/>
        </w:rPr>
        <w:t>组织实施有效性</w:t>
      </w:r>
    </w:p>
    <w:p w14:paraId="2A728739">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default" w:ascii="宋体" w:hAnsi="宋体" w:eastAsia="仿宋_GB2312" w:cs="仿宋_GB2312"/>
          <w:i w:val="0"/>
          <w:iCs w:val="0"/>
          <w:caps w:val="0"/>
          <w:color w:val="333333"/>
          <w:spacing w:val="6"/>
          <w:sz w:val="30"/>
          <w:szCs w:val="30"/>
          <w:highlight w:val="none"/>
          <w:shd w:val="clear" w:fill="FFFFFF"/>
          <w:lang w:val="en-US" w:eastAsia="zh-CN"/>
        </w:rPr>
      </w:pPr>
      <w:r>
        <w:rPr>
          <w:rFonts w:hint="eastAsia" w:ascii="宋体" w:hAnsi="宋体" w:eastAsia="仿宋_GB2312" w:cs="仿宋_GB2312"/>
          <w:i w:val="0"/>
          <w:iCs w:val="0"/>
          <w:caps w:val="0"/>
          <w:color w:val="333333"/>
          <w:spacing w:val="6"/>
          <w:sz w:val="30"/>
          <w:szCs w:val="30"/>
          <w:highlight w:val="none"/>
          <w:shd w:val="clear" w:fill="FFFFFF"/>
          <w:lang w:val="en-US" w:eastAsia="zh-CN"/>
        </w:rPr>
        <w:t>指标分值4分，得分3.5分，扣0.5分。根据宽城区医院提供的情况说明及平衡方案，本项目实施的人员条件、场地设备、信息支撑均已落实到位。通过查看财务相关资料，截至目前已签订的项目合同书等资料齐全并已归档管理。专项债券信息已按规定进行信息公开。与本项目建设有关的市政道路已完成丙四十一路西工程、水电也已完成，但地下管网等配套基础设施尚未完成，目前正在有序开展中，扣0.5分。</w:t>
      </w:r>
    </w:p>
    <w:p w14:paraId="20246AFA">
      <w:pPr>
        <w:rPr>
          <w:rFonts w:hint="eastAsia" w:eastAsia="仿宋_GB2312"/>
          <w:lang w:val="en-US" w:eastAsia="zh-CN"/>
        </w:rPr>
      </w:pPr>
      <w:r>
        <w:rPr>
          <w:rFonts w:hint="eastAsia" w:ascii="宋体" w:hAnsi="宋体"/>
          <w:lang w:val="en-US" w:eastAsia="zh-CN"/>
        </w:rPr>
        <w:t>2</w:t>
      </w:r>
      <w:r>
        <w:rPr>
          <w:rFonts w:hint="eastAsia" w:ascii="宋体" w:hAnsi="宋体"/>
        </w:rPr>
        <w:t>.资金</w:t>
      </w:r>
      <w:r>
        <w:rPr>
          <w:rFonts w:hint="eastAsia" w:ascii="宋体" w:hAnsi="宋体"/>
          <w:lang w:val="en-US" w:eastAsia="zh-CN"/>
        </w:rPr>
        <w:t>使用</w:t>
      </w:r>
      <w:r>
        <w:rPr>
          <w:rFonts w:hint="eastAsia" w:ascii="宋体" w:hAnsi="宋体"/>
          <w:lang w:eastAsia="zh-CN"/>
        </w:rPr>
        <w:t>（</w:t>
      </w:r>
      <w:r>
        <w:rPr>
          <w:rFonts w:hint="eastAsia" w:ascii="宋体" w:hAnsi="宋体"/>
          <w:lang w:val="en-US" w:eastAsia="zh-CN"/>
        </w:rPr>
        <w:t>满分12分，得分11分</w:t>
      </w:r>
      <w:r>
        <w:rPr>
          <w:rFonts w:hint="eastAsia" w:ascii="宋体" w:hAnsi="宋体"/>
          <w:lang w:eastAsia="zh-CN"/>
        </w:rPr>
        <w:t>）</w:t>
      </w:r>
    </w:p>
    <w:p w14:paraId="5D3F59B0">
      <w:pPr>
        <w:pStyle w:val="5"/>
        <w:bidi w:val="0"/>
        <w:rPr>
          <w:rFonts w:hint="eastAsia" w:ascii="宋体" w:hAnsi="宋体"/>
        </w:rPr>
      </w:pPr>
      <w:r>
        <w:rPr>
          <w:rFonts w:hint="eastAsia" w:ascii="宋体" w:hAnsi="宋体"/>
        </w:rPr>
        <w:t>（1）资金使用合规性</w:t>
      </w:r>
    </w:p>
    <w:p w14:paraId="42250E9E">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highlight w:val="none"/>
        </w:rPr>
      </w:pPr>
      <w:r>
        <w:rPr>
          <w:rFonts w:hint="eastAsia" w:ascii="宋体" w:hAnsi="宋体" w:eastAsia="仿宋_GB2312" w:cs="仿宋_GB2312"/>
          <w:i w:val="0"/>
          <w:iCs w:val="0"/>
          <w:caps w:val="0"/>
          <w:color w:val="333333"/>
          <w:spacing w:val="6"/>
          <w:sz w:val="30"/>
          <w:szCs w:val="30"/>
          <w:highlight w:val="none"/>
          <w:shd w:val="clear" w:fill="FFFFFF"/>
        </w:rPr>
        <w:t>指标分值4分，得</w:t>
      </w:r>
      <w:r>
        <w:rPr>
          <w:rFonts w:hint="eastAsia" w:ascii="宋体" w:hAnsi="宋体" w:cs="仿宋_GB2312"/>
          <w:i w:val="0"/>
          <w:iCs w:val="0"/>
          <w:caps w:val="0"/>
          <w:color w:val="333333"/>
          <w:spacing w:val="6"/>
          <w:sz w:val="30"/>
          <w:szCs w:val="30"/>
          <w:highlight w:val="none"/>
          <w:shd w:val="clear" w:fill="FFFFFF"/>
          <w:lang w:val="en-US" w:eastAsia="zh-CN"/>
        </w:rPr>
        <w:t>3</w:t>
      </w:r>
      <w:r>
        <w:rPr>
          <w:rFonts w:hint="eastAsia" w:ascii="宋体" w:hAnsi="宋体" w:eastAsia="仿宋_GB2312" w:cs="仿宋_GB2312"/>
          <w:i w:val="0"/>
          <w:iCs w:val="0"/>
          <w:caps w:val="0"/>
          <w:color w:val="333333"/>
          <w:spacing w:val="6"/>
          <w:sz w:val="30"/>
          <w:szCs w:val="30"/>
          <w:highlight w:val="none"/>
          <w:shd w:val="clear" w:fill="FFFFFF"/>
        </w:rPr>
        <w:t>分，扣</w:t>
      </w:r>
      <w:r>
        <w:rPr>
          <w:rFonts w:hint="eastAsia" w:ascii="宋体" w:hAnsi="宋体" w:cs="仿宋_GB2312"/>
          <w:i w:val="0"/>
          <w:iCs w:val="0"/>
          <w:caps w:val="0"/>
          <w:color w:val="333333"/>
          <w:spacing w:val="6"/>
          <w:sz w:val="30"/>
          <w:szCs w:val="30"/>
          <w:highlight w:val="none"/>
          <w:shd w:val="clear" w:fill="FFFFFF"/>
          <w:lang w:val="en-US" w:eastAsia="zh-CN"/>
        </w:rPr>
        <w:t>1</w:t>
      </w:r>
      <w:r>
        <w:rPr>
          <w:rFonts w:hint="eastAsia" w:ascii="宋体" w:hAnsi="宋体" w:eastAsia="仿宋_GB2312" w:cs="仿宋_GB2312"/>
          <w:i w:val="0"/>
          <w:iCs w:val="0"/>
          <w:caps w:val="0"/>
          <w:color w:val="333333"/>
          <w:spacing w:val="6"/>
          <w:sz w:val="30"/>
          <w:szCs w:val="30"/>
          <w:highlight w:val="none"/>
          <w:shd w:val="clear" w:fill="FFFFFF"/>
        </w:rPr>
        <w:t>分。本项目专项债券资金在202</w:t>
      </w:r>
      <w:r>
        <w:rPr>
          <w:rFonts w:hint="eastAsia" w:ascii="宋体" w:hAnsi="宋体" w:cs="仿宋_GB2312"/>
          <w:i w:val="0"/>
          <w:iCs w:val="0"/>
          <w:caps w:val="0"/>
          <w:color w:val="333333"/>
          <w:spacing w:val="6"/>
          <w:sz w:val="30"/>
          <w:szCs w:val="30"/>
          <w:highlight w:val="none"/>
          <w:shd w:val="clear" w:fill="FFFFFF"/>
          <w:lang w:val="en-US" w:eastAsia="zh-CN"/>
        </w:rPr>
        <w:t>4</w:t>
      </w:r>
      <w:r>
        <w:rPr>
          <w:rFonts w:hint="eastAsia" w:ascii="宋体" w:hAnsi="宋体" w:eastAsia="仿宋_GB2312" w:cs="仿宋_GB2312"/>
          <w:i w:val="0"/>
          <w:iCs w:val="0"/>
          <w:caps w:val="0"/>
          <w:color w:val="333333"/>
          <w:spacing w:val="6"/>
          <w:sz w:val="30"/>
          <w:szCs w:val="30"/>
          <w:highlight w:val="none"/>
          <w:shd w:val="clear" w:fill="FFFFFF"/>
        </w:rPr>
        <w:t>年度建设运营期间按照计划执行，资金的拨付有完整的审批程序和手续，符合项目预算批复或合同规定的用途，未发现截留、挤占、挪用等情况。但在合同签订方面存在一些问题，例如吉林省钜恒工程项目管理有限公司</w:t>
      </w:r>
      <w:r>
        <w:rPr>
          <w:rFonts w:hint="eastAsia" w:ascii="宋体" w:hAnsi="宋体" w:cs="仿宋_GB2312"/>
          <w:i w:val="0"/>
          <w:iCs w:val="0"/>
          <w:caps w:val="0"/>
          <w:color w:val="333333"/>
          <w:spacing w:val="6"/>
          <w:sz w:val="30"/>
          <w:szCs w:val="30"/>
          <w:highlight w:val="none"/>
          <w:shd w:val="clear" w:fill="FFFFFF"/>
          <w:lang w:val="en-US" w:eastAsia="zh-CN"/>
        </w:rPr>
        <w:t>于2024年1月16日中标本项目红线内配电工程监理服务，于2024年3月14日签订合同，超出中标通知书日期30天，</w:t>
      </w:r>
      <w:r>
        <w:rPr>
          <w:rFonts w:hint="eastAsia" w:ascii="宋体" w:hAnsi="宋体" w:eastAsia="仿宋_GB2312" w:cs="仿宋_GB2312"/>
          <w:i w:val="0"/>
          <w:iCs w:val="0"/>
          <w:caps w:val="0"/>
          <w:color w:val="333333"/>
          <w:spacing w:val="6"/>
          <w:sz w:val="30"/>
          <w:szCs w:val="30"/>
          <w:highlight w:val="none"/>
          <w:shd w:val="clear" w:fill="FFFFFF"/>
        </w:rPr>
        <w:t>扣</w:t>
      </w:r>
      <w:r>
        <w:rPr>
          <w:rFonts w:hint="eastAsia" w:ascii="宋体" w:hAnsi="宋体" w:cs="仿宋_GB2312"/>
          <w:i w:val="0"/>
          <w:iCs w:val="0"/>
          <w:caps w:val="0"/>
          <w:color w:val="333333"/>
          <w:spacing w:val="6"/>
          <w:sz w:val="30"/>
          <w:szCs w:val="30"/>
          <w:highlight w:val="none"/>
          <w:shd w:val="clear" w:fill="FFFFFF"/>
          <w:lang w:val="en-US" w:eastAsia="zh-CN"/>
        </w:rPr>
        <w:t>1</w:t>
      </w:r>
      <w:r>
        <w:rPr>
          <w:rFonts w:hint="eastAsia" w:ascii="宋体" w:hAnsi="宋体" w:eastAsia="仿宋_GB2312" w:cs="仿宋_GB2312"/>
          <w:i w:val="0"/>
          <w:iCs w:val="0"/>
          <w:caps w:val="0"/>
          <w:color w:val="333333"/>
          <w:spacing w:val="6"/>
          <w:sz w:val="30"/>
          <w:szCs w:val="30"/>
          <w:highlight w:val="none"/>
          <w:shd w:val="clear" w:fill="FFFFFF"/>
        </w:rPr>
        <w:t>分。</w:t>
      </w:r>
    </w:p>
    <w:p w14:paraId="55DF2C48">
      <w:pPr>
        <w:pStyle w:val="5"/>
        <w:bidi w:val="0"/>
        <w:rPr>
          <w:rFonts w:hint="eastAsia" w:ascii="宋体" w:hAnsi="宋体"/>
        </w:rPr>
      </w:pPr>
      <w:r>
        <w:rPr>
          <w:rFonts w:hint="eastAsia" w:ascii="宋体" w:hAnsi="宋体"/>
          <w:lang w:eastAsia="zh-CN"/>
        </w:rPr>
        <w:t>（</w:t>
      </w:r>
      <w:r>
        <w:rPr>
          <w:rFonts w:hint="eastAsia" w:ascii="宋体" w:hAnsi="宋体"/>
          <w:lang w:val="en-US" w:eastAsia="zh-CN"/>
        </w:rPr>
        <w:t>2</w:t>
      </w:r>
      <w:r>
        <w:rPr>
          <w:rFonts w:hint="eastAsia" w:ascii="宋体" w:hAnsi="宋体"/>
          <w:lang w:eastAsia="zh-CN"/>
        </w:rPr>
        <w:t>）</w:t>
      </w:r>
      <w:r>
        <w:rPr>
          <w:rFonts w:hint="eastAsia" w:ascii="宋体" w:hAnsi="宋体"/>
        </w:rPr>
        <w:t>资金到位率</w:t>
      </w:r>
    </w:p>
    <w:p w14:paraId="13923025">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both"/>
        <w:textAlignment w:val="baseline"/>
        <w:rPr>
          <w:rFonts w:hint="eastAsia" w:ascii="宋体" w:hAnsi="宋体" w:eastAsia="仿宋_GB2312" w:cs="仿宋_GB2312"/>
          <w:spacing w:val="6"/>
          <w:sz w:val="30"/>
          <w:szCs w:val="30"/>
        </w:rPr>
      </w:pPr>
      <w:r>
        <w:rPr>
          <w:rFonts w:hint="eastAsia" w:ascii="宋体" w:hAnsi="宋体" w:eastAsia="仿宋_GB2312" w:cs="仿宋_GB2312"/>
          <w:i w:val="0"/>
          <w:iCs w:val="0"/>
          <w:caps w:val="0"/>
          <w:color w:val="333333"/>
          <w:spacing w:val="6"/>
          <w:sz w:val="30"/>
          <w:szCs w:val="30"/>
          <w:shd w:val="clear" w:fill="FFFFFF"/>
        </w:rPr>
        <w:t>指标分值</w:t>
      </w:r>
      <w:r>
        <w:rPr>
          <w:rFonts w:hint="eastAsia" w:ascii="宋体" w:hAnsi="宋体"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rPr>
        <w:t>分，得</w:t>
      </w:r>
      <w:r>
        <w:rPr>
          <w:rFonts w:hint="eastAsia" w:ascii="宋体" w:hAnsi="宋体"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rPr>
        <w:t>分。</w:t>
      </w:r>
      <w:r>
        <w:rPr>
          <w:rFonts w:hint="eastAsia" w:ascii="宋体" w:hAnsi="宋体" w:eastAsia="仿宋_GB2312" w:cs="仿宋_GB2312"/>
          <w:i w:val="0"/>
          <w:iCs w:val="0"/>
          <w:caps w:val="0"/>
          <w:color w:val="333333"/>
          <w:spacing w:val="6"/>
          <w:sz w:val="30"/>
          <w:szCs w:val="30"/>
          <w:shd w:val="clear" w:fill="FFFFFF"/>
          <w:lang w:val="en-US" w:eastAsia="zh-CN"/>
        </w:rPr>
        <w:t>本项目</w:t>
      </w:r>
      <w:r>
        <w:rPr>
          <w:rFonts w:hint="eastAsia" w:ascii="宋体" w:hAnsi="宋体" w:cs="仿宋_GB2312"/>
          <w:i w:val="0"/>
          <w:iCs w:val="0"/>
          <w:caps w:val="0"/>
          <w:color w:val="333333"/>
          <w:spacing w:val="6"/>
          <w:sz w:val="30"/>
          <w:szCs w:val="30"/>
          <w:shd w:val="clear" w:fill="FFFFFF"/>
          <w:lang w:val="en-US" w:eastAsia="zh-CN"/>
        </w:rPr>
        <w:t>2024年度</w:t>
      </w:r>
      <w:r>
        <w:rPr>
          <w:rFonts w:hint="eastAsia" w:ascii="宋体" w:hAnsi="宋体" w:eastAsia="仿宋_GB2312" w:cs="仿宋_GB2312"/>
          <w:i w:val="0"/>
          <w:iCs w:val="0"/>
          <w:caps w:val="0"/>
          <w:color w:val="333333"/>
          <w:spacing w:val="6"/>
          <w:sz w:val="30"/>
          <w:szCs w:val="30"/>
          <w:shd w:val="clear" w:fill="FFFFFF"/>
          <w:lang w:val="en-US" w:eastAsia="zh-CN"/>
        </w:rPr>
        <w:t>预算资金</w:t>
      </w:r>
      <w:r>
        <w:rPr>
          <w:rFonts w:hint="eastAsia" w:ascii="宋体" w:hAnsi="宋体" w:cs="仿宋_GB2312"/>
          <w:i w:val="0"/>
          <w:iCs w:val="0"/>
          <w:caps w:val="0"/>
          <w:color w:val="333333"/>
          <w:spacing w:val="6"/>
          <w:sz w:val="30"/>
          <w:szCs w:val="30"/>
          <w:shd w:val="clear" w:fill="FFFFFF"/>
          <w:lang w:val="en-US" w:eastAsia="zh-CN"/>
        </w:rPr>
        <w:t xml:space="preserve">  9,080.00</w:t>
      </w:r>
      <w:r>
        <w:rPr>
          <w:rFonts w:hint="eastAsia" w:ascii="宋体" w:hAnsi="宋体" w:eastAsia="仿宋_GB2312" w:cs="仿宋_GB2312"/>
          <w:i w:val="0"/>
          <w:iCs w:val="0"/>
          <w:caps w:val="0"/>
          <w:color w:val="333333"/>
          <w:spacing w:val="6"/>
          <w:sz w:val="30"/>
          <w:szCs w:val="30"/>
          <w:shd w:val="clear" w:fill="FFFFFF"/>
          <w:lang w:val="en-US" w:eastAsia="zh-CN"/>
        </w:rPr>
        <w:t>万元，其中财政预算资金</w:t>
      </w:r>
      <w:r>
        <w:rPr>
          <w:rFonts w:hint="eastAsia" w:ascii="宋体" w:hAnsi="宋体" w:cs="仿宋_GB2312"/>
          <w:i w:val="0"/>
          <w:iCs w:val="0"/>
          <w:caps w:val="0"/>
          <w:color w:val="333333"/>
          <w:spacing w:val="6"/>
          <w:sz w:val="30"/>
          <w:szCs w:val="30"/>
          <w:highlight w:val="none"/>
          <w:shd w:val="clear" w:fill="FFFFFF"/>
          <w:lang w:val="en-US" w:eastAsia="zh-CN"/>
        </w:rPr>
        <w:t>80.00</w:t>
      </w:r>
      <w:r>
        <w:rPr>
          <w:rFonts w:hint="eastAsia" w:ascii="宋体" w:hAnsi="宋体" w:eastAsia="仿宋_GB2312" w:cs="仿宋_GB2312"/>
          <w:i w:val="0"/>
          <w:iCs w:val="0"/>
          <w:caps w:val="0"/>
          <w:color w:val="333333"/>
          <w:spacing w:val="6"/>
          <w:sz w:val="30"/>
          <w:szCs w:val="30"/>
          <w:shd w:val="clear" w:fill="FFFFFF"/>
          <w:lang w:val="en-US" w:eastAsia="zh-CN"/>
        </w:rPr>
        <w:t>万元，实际到位</w:t>
      </w:r>
      <w:r>
        <w:rPr>
          <w:rFonts w:hint="eastAsia" w:ascii="宋体" w:hAnsi="宋体" w:cs="仿宋_GB2312"/>
          <w:i w:val="0"/>
          <w:iCs w:val="0"/>
          <w:caps w:val="0"/>
          <w:color w:val="333333"/>
          <w:spacing w:val="6"/>
          <w:sz w:val="30"/>
          <w:szCs w:val="30"/>
          <w:shd w:val="clear" w:fill="FFFFFF"/>
          <w:lang w:val="en-US" w:eastAsia="zh-CN"/>
        </w:rPr>
        <w:t>79.38</w:t>
      </w:r>
      <w:r>
        <w:rPr>
          <w:rFonts w:hint="eastAsia" w:ascii="宋体" w:hAnsi="宋体" w:eastAsia="仿宋_GB2312" w:cs="仿宋_GB2312"/>
          <w:i w:val="0"/>
          <w:iCs w:val="0"/>
          <w:caps w:val="0"/>
          <w:color w:val="333333"/>
          <w:spacing w:val="6"/>
          <w:sz w:val="30"/>
          <w:szCs w:val="30"/>
          <w:shd w:val="clear" w:fill="FFFFFF"/>
          <w:lang w:val="en-US" w:eastAsia="zh-CN"/>
        </w:rPr>
        <w:t>万元，专项债券资金</w:t>
      </w:r>
      <w:r>
        <w:rPr>
          <w:rFonts w:hint="eastAsia" w:ascii="宋体" w:hAnsi="宋体" w:cs="仿宋_GB2312"/>
          <w:i w:val="0"/>
          <w:iCs w:val="0"/>
          <w:caps w:val="0"/>
          <w:color w:val="333333"/>
          <w:spacing w:val="6"/>
          <w:sz w:val="30"/>
          <w:szCs w:val="30"/>
          <w:shd w:val="clear" w:fill="FFFFFF"/>
          <w:lang w:val="en-US" w:eastAsia="zh-CN"/>
        </w:rPr>
        <w:t>9,000.00</w:t>
      </w:r>
      <w:r>
        <w:rPr>
          <w:rFonts w:hint="eastAsia" w:ascii="宋体" w:hAnsi="宋体" w:eastAsia="仿宋_GB2312" w:cs="仿宋_GB2312"/>
          <w:i w:val="0"/>
          <w:iCs w:val="0"/>
          <w:caps w:val="0"/>
          <w:color w:val="333333"/>
          <w:spacing w:val="6"/>
          <w:sz w:val="30"/>
          <w:szCs w:val="30"/>
          <w:shd w:val="clear" w:fill="FFFFFF"/>
          <w:lang w:val="en-US" w:eastAsia="zh-CN"/>
        </w:rPr>
        <w:t>万元，实际到位</w:t>
      </w:r>
      <w:r>
        <w:rPr>
          <w:rFonts w:hint="eastAsia" w:ascii="宋体" w:hAnsi="宋体" w:cs="仿宋_GB2312"/>
          <w:i w:val="0"/>
          <w:iCs w:val="0"/>
          <w:caps w:val="0"/>
          <w:color w:val="333333"/>
          <w:spacing w:val="6"/>
          <w:sz w:val="30"/>
          <w:szCs w:val="30"/>
          <w:shd w:val="clear" w:fill="FFFFFF"/>
          <w:lang w:val="en-US" w:eastAsia="zh-CN"/>
        </w:rPr>
        <w:t>9,000.00</w:t>
      </w:r>
      <w:r>
        <w:rPr>
          <w:rFonts w:hint="eastAsia" w:ascii="宋体" w:hAnsi="宋体" w:eastAsia="仿宋_GB2312" w:cs="仿宋_GB2312"/>
          <w:i w:val="0"/>
          <w:iCs w:val="0"/>
          <w:caps w:val="0"/>
          <w:color w:val="333333"/>
          <w:spacing w:val="6"/>
          <w:sz w:val="30"/>
          <w:szCs w:val="30"/>
          <w:shd w:val="clear" w:fill="FFFFFF"/>
          <w:lang w:val="en-US" w:eastAsia="zh-CN"/>
        </w:rPr>
        <w:t>万元，资金到位率为</w:t>
      </w:r>
      <w:r>
        <w:rPr>
          <w:rFonts w:hint="eastAsia" w:ascii="宋体" w:hAnsi="宋体" w:cs="仿宋_GB2312"/>
          <w:i w:val="0"/>
          <w:iCs w:val="0"/>
          <w:caps w:val="0"/>
          <w:color w:val="333333"/>
          <w:spacing w:val="6"/>
          <w:sz w:val="30"/>
          <w:szCs w:val="30"/>
          <w:shd w:val="clear" w:fill="FFFFFF"/>
          <w:lang w:val="en-US" w:eastAsia="zh-CN"/>
        </w:rPr>
        <w:t>100</w:t>
      </w:r>
      <w:r>
        <w:rPr>
          <w:rFonts w:hint="eastAsia" w:ascii="宋体" w:hAnsi="宋体" w:eastAsia="仿宋_GB2312" w:cs="仿宋_GB2312"/>
          <w:i w:val="0"/>
          <w:iCs w:val="0"/>
          <w:caps w:val="0"/>
          <w:color w:val="333333"/>
          <w:spacing w:val="6"/>
          <w:sz w:val="30"/>
          <w:szCs w:val="30"/>
          <w:shd w:val="clear" w:fill="FFFFFF"/>
          <w:lang w:val="en-US" w:eastAsia="zh-CN"/>
        </w:rPr>
        <w:t>%。</w:t>
      </w:r>
    </w:p>
    <w:p w14:paraId="3CA29551">
      <w:pPr>
        <w:pStyle w:val="5"/>
        <w:bidi w:val="0"/>
        <w:rPr>
          <w:rFonts w:hint="eastAsia" w:ascii="宋体" w:hAnsi="宋体"/>
          <w:highlight w:val="none"/>
        </w:rPr>
      </w:pPr>
      <w:r>
        <w:rPr>
          <w:rFonts w:hint="eastAsia" w:ascii="宋体" w:hAnsi="宋体"/>
          <w:highlight w:val="none"/>
        </w:rPr>
        <w:t>（</w:t>
      </w:r>
      <w:r>
        <w:rPr>
          <w:rFonts w:hint="eastAsia" w:ascii="宋体" w:hAnsi="宋体"/>
          <w:highlight w:val="none"/>
          <w:lang w:val="en-US" w:eastAsia="zh-CN"/>
        </w:rPr>
        <w:t>3</w:t>
      </w:r>
      <w:r>
        <w:rPr>
          <w:rFonts w:hint="eastAsia" w:ascii="宋体" w:hAnsi="宋体"/>
          <w:highlight w:val="none"/>
        </w:rPr>
        <w:t>）</w:t>
      </w:r>
      <w:r>
        <w:rPr>
          <w:rFonts w:hint="eastAsia" w:ascii="宋体" w:hAnsi="宋体"/>
          <w:highlight w:val="none"/>
          <w:lang w:val="en-US" w:eastAsia="zh-CN"/>
        </w:rPr>
        <w:t>预算</w:t>
      </w:r>
      <w:r>
        <w:rPr>
          <w:rFonts w:hint="eastAsia" w:ascii="宋体" w:hAnsi="宋体"/>
          <w:highlight w:val="none"/>
        </w:rPr>
        <w:t>执行率</w:t>
      </w:r>
    </w:p>
    <w:p w14:paraId="78F9378B">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both"/>
        <w:textAlignment w:val="baseline"/>
        <w:rPr>
          <w:rFonts w:hint="eastAsia" w:ascii="宋体" w:hAnsi="宋体" w:eastAsia="仿宋_GB2312" w:cs="仿宋_GB2312"/>
          <w:spacing w:val="6"/>
          <w:sz w:val="30"/>
          <w:szCs w:val="30"/>
          <w:highlight w:val="none"/>
        </w:rPr>
      </w:pPr>
      <w:r>
        <w:rPr>
          <w:rFonts w:hint="eastAsia" w:ascii="宋体" w:hAnsi="宋体" w:eastAsia="仿宋_GB2312" w:cs="仿宋_GB2312"/>
          <w:i w:val="0"/>
          <w:iCs w:val="0"/>
          <w:caps w:val="0"/>
          <w:color w:val="333333"/>
          <w:spacing w:val="6"/>
          <w:sz w:val="30"/>
          <w:szCs w:val="30"/>
          <w:highlight w:val="none"/>
          <w:shd w:val="clear" w:fill="FFFFFF"/>
        </w:rPr>
        <w:t>指标分值</w:t>
      </w:r>
      <w:r>
        <w:rPr>
          <w:rFonts w:hint="eastAsia" w:ascii="宋体" w:hAnsi="宋体" w:cs="仿宋_GB2312"/>
          <w:i w:val="0"/>
          <w:iCs w:val="0"/>
          <w:caps w:val="0"/>
          <w:color w:val="333333"/>
          <w:spacing w:val="6"/>
          <w:sz w:val="30"/>
          <w:szCs w:val="30"/>
          <w:highlight w:val="none"/>
          <w:shd w:val="clear" w:fill="FFFFFF"/>
          <w:lang w:val="en-US" w:eastAsia="zh-CN"/>
        </w:rPr>
        <w:t>4</w:t>
      </w:r>
      <w:r>
        <w:rPr>
          <w:rFonts w:hint="eastAsia" w:ascii="宋体" w:hAnsi="宋体" w:eastAsia="仿宋_GB2312" w:cs="仿宋_GB2312"/>
          <w:i w:val="0"/>
          <w:iCs w:val="0"/>
          <w:caps w:val="0"/>
          <w:color w:val="333333"/>
          <w:spacing w:val="6"/>
          <w:sz w:val="30"/>
          <w:szCs w:val="30"/>
          <w:highlight w:val="none"/>
          <w:shd w:val="clear" w:fill="FFFFFF"/>
        </w:rPr>
        <w:t>分，得</w:t>
      </w:r>
      <w:r>
        <w:rPr>
          <w:rFonts w:hint="eastAsia" w:ascii="宋体" w:hAnsi="宋体" w:cs="仿宋_GB2312"/>
          <w:i w:val="0"/>
          <w:iCs w:val="0"/>
          <w:caps w:val="0"/>
          <w:color w:val="333333"/>
          <w:spacing w:val="6"/>
          <w:sz w:val="30"/>
          <w:szCs w:val="30"/>
          <w:highlight w:val="none"/>
          <w:shd w:val="clear" w:fill="FFFFFF"/>
          <w:lang w:val="en-US" w:eastAsia="zh-CN"/>
        </w:rPr>
        <w:t>4</w:t>
      </w:r>
      <w:r>
        <w:rPr>
          <w:rFonts w:hint="eastAsia" w:ascii="宋体" w:hAnsi="宋体" w:eastAsia="仿宋_GB2312" w:cs="仿宋_GB2312"/>
          <w:i w:val="0"/>
          <w:iCs w:val="0"/>
          <w:caps w:val="0"/>
          <w:color w:val="333333"/>
          <w:spacing w:val="6"/>
          <w:sz w:val="30"/>
          <w:szCs w:val="30"/>
          <w:highlight w:val="none"/>
          <w:shd w:val="clear" w:fill="FFFFFF"/>
        </w:rPr>
        <w:t>分。</w:t>
      </w:r>
      <w:r>
        <w:rPr>
          <w:rFonts w:hint="eastAsia" w:ascii="宋体" w:hAnsi="宋体" w:eastAsia="仿宋_GB2312" w:cs="仿宋_GB2312"/>
          <w:i w:val="0"/>
          <w:iCs w:val="0"/>
          <w:caps w:val="0"/>
          <w:color w:val="333333"/>
          <w:spacing w:val="6"/>
          <w:sz w:val="30"/>
          <w:szCs w:val="30"/>
          <w:highlight w:val="none"/>
          <w:shd w:val="clear" w:fill="FFFFFF"/>
          <w:lang w:val="en-US" w:eastAsia="zh-CN"/>
        </w:rPr>
        <w:t>本项目</w:t>
      </w:r>
      <w:r>
        <w:rPr>
          <w:rFonts w:hint="eastAsia" w:ascii="宋体" w:hAnsi="宋体" w:cs="仿宋_GB2312"/>
          <w:i w:val="0"/>
          <w:iCs w:val="0"/>
          <w:caps w:val="0"/>
          <w:color w:val="333333"/>
          <w:spacing w:val="6"/>
          <w:sz w:val="30"/>
          <w:szCs w:val="30"/>
          <w:highlight w:val="none"/>
          <w:shd w:val="clear" w:fill="FFFFFF"/>
          <w:lang w:val="en-US" w:eastAsia="zh-CN"/>
        </w:rPr>
        <w:t>2024年度预算资金共计到位</w:t>
      </w:r>
      <w:r>
        <w:rPr>
          <w:rFonts w:hint="eastAsia" w:ascii="宋体" w:hAnsi="宋体" w:cs="仿宋_GB2312"/>
          <w:i w:val="0"/>
          <w:iCs w:val="0"/>
          <w:caps w:val="0"/>
          <w:color w:val="333333"/>
          <w:spacing w:val="6"/>
          <w:sz w:val="30"/>
          <w:szCs w:val="30"/>
          <w:shd w:val="clear" w:fill="FFFFFF"/>
          <w:lang w:val="en-US" w:eastAsia="zh-CN"/>
        </w:rPr>
        <w:t>9,079.38</w:t>
      </w:r>
      <w:r>
        <w:rPr>
          <w:rFonts w:hint="eastAsia" w:ascii="宋体" w:hAnsi="宋体" w:eastAsia="仿宋_GB2312" w:cs="仿宋_GB2312"/>
          <w:i w:val="0"/>
          <w:iCs w:val="0"/>
          <w:caps w:val="0"/>
          <w:color w:val="333333"/>
          <w:spacing w:val="6"/>
          <w:sz w:val="30"/>
          <w:szCs w:val="30"/>
          <w:shd w:val="clear" w:fill="FFFFFF"/>
          <w:lang w:val="en-US" w:eastAsia="zh-CN"/>
        </w:rPr>
        <w:t>万元</w:t>
      </w:r>
      <w:r>
        <w:rPr>
          <w:rFonts w:hint="eastAsia" w:ascii="宋体" w:hAnsi="宋体" w:cs="仿宋_GB2312"/>
          <w:i w:val="0"/>
          <w:iCs w:val="0"/>
          <w:caps w:val="0"/>
          <w:color w:val="333333"/>
          <w:spacing w:val="6"/>
          <w:sz w:val="30"/>
          <w:szCs w:val="30"/>
          <w:highlight w:val="none"/>
          <w:shd w:val="clear" w:fill="FFFFFF"/>
          <w:lang w:val="en-US" w:eastAsia="zh-CN"/>
        </w:rPr>
        <w:t>，实际使用资金共计</w:t>
      </w:r>
      <w:r>
        <w:rPr>
          <w:rFonts w:hint="eastAsia" w:ascii="宋体" w:hAnsi="宋体" w:cs="仿宋_GB2312"/>
          <w:i w:val="0"/>
          <w:iCs w:val="0"/>
          <w:caps w:val="0"/>
          <w:color w:val="333333"/>
          <w:spacing w:val="6"/>
          <w:sz w:val="30"/>
          <w:szCs w:val="30"/>
          <w:shd w:val="clear" w:fill="FFFFFF"/>
          <w:lang w:val="en-US" w:eastAsia="zh-CN"/>
        </w:rPr>
        <w:t>9,079.38</w:t>
      </w:r>
      <w:r>
        <w:rPr>
          <w:rFonts w:hint="eastAsia" w:ascii="宋体" w:hAnsi="宋体" w:eastAsia="仿宋_GB2312" w:cs="仿宋_GB2312"/>
          <w:i w:val="0"/>
          <w:iCs w:val="0"/>
          <w:caps w:val="0"/>
          <w:color w:val="333333"/>
          <w:spacing w:val="6"/>
          <w:sz w:val="30"/>
          <w:szCs w:val="30"/>
          <w:shd w:val="clear" w:fill="FFFFFF"/>
          <w:lang w:val="en-US" w:eastAsia="zh-CN"/>
        </w:rPr>
        <w:t>万元</w:t>
      </w:r>
      <w:r>
        <w:rPr>
          <w:rFonts w:hint="eastAsia" w:ascii="宋体" w:hAnsi="宋体" w:cs="仿宋_GB2312"/>
          <w:i w:val="0"/>
          <w:iCs w:val="0"/>
          <w:caps w:val="0"/>
          <w:color w:val="333333"/>
          <w:spacing w:val="6"/>
          <w:sz w:val="30"/>
          <w:szCs w:val="30"/>
          <w:highlight w:val="none"/>
          <w:shd w:val="clear" w:fill="FFFFFF"/>
          <w:lang w:val="en-US" w:eastAsia="zh-CN"/>
        </w:rPr>
        <w:t>，其中财政预算资金使用</w:t>
      </w:r>
      <w:r>
        <w:rPr>
          <w:rFonts w:hint="eastAsia" w:ascii="宋体" w:hAnsi="宋体" w:cs="仿宋_GB2312"/>
          <w:i w:val="0"/>
          <w:iCs w:val="0"/>
          <w:caps w:val="0"/>
          <w:color w:val="333333"/>
          <w:spacing w:val="6"/>
          <w:sz w:val="30"/>
          <w:szCs w:val="30"/>
          <w:shd w:val="clear" w:fill="FFFFFF"/>
          <w:lang w:val="en-US" w:eastAsia="zh-CN"/>
        </w:rPr>
        <w:t>79.38</w:t>
      </w:r>
      <w:r>
        <w:rPr>
          <w:rFonts w:hint="eastAsia" w:ascii="宋体" w:hAnsi="宋体" w:eastAsia="仿宋_GB2312" w:cs="仿宋_GB2312"/>
          <w:i w:val="0"/>
          <w:iCs w:val="0"/>
          <w:caps w:val="0"/>
          <w:color w:val="333333"/>
          <w:spacing w:val="6"/>
          <w:sz w:val="30"/>
          <w:szCs w:val="30"/>
          <w:shd w:val="clear" w:fill="FFFFFF"/>
          <w:lang w:val="en-US" w:eastAsia="zh-CN"/>
        </w:rPr>
        <w:t>万元，专项债券资金</w:t>
      </w:r>
      <w:r>
        <w:rPr>
          <w:rFonts w:hint="eastAsia" w:ascii="宋体" w:hAnsi="宋体" w:cs="仿宋_GB2312"/>
          <w:i w:val="0"/>
          <w:iCs w:val="0"/>
          <w:caps w:val="0"/>
          <w:color w:val="333333"/>
          <w:spacing w:val="6"/>
          <w:sz w:val="30"/>
          <w:szCs w:val="30"/>
          <w:shd w:val="clear" w:fill="FFFFFF"/>
          <w:lang w:val="en-US" w:eastAsia="zh-CN"/>
        </w:rPr>
        <w:t>9,000.00</w:t>
      </w:r>
      <w:r>
        <w:rPr>
          <w:rFonts w:hint="eastAsia" w:ascii="宋体" w:hAnsi="宋体" w:eastAsia="仿宋_GB2312" w:cs="仿宋_GB2312"/>
          <w:i w:val="0"/>
          <w:iCs w:val="0"/>
          <w:caps w:val="0"/>
          <w:color w:val="333333"/>
          <w:spacing w:val="6"/>
          <w:sz w:val="30"/>
          <w:szCs w:val="30"/>
          <w:shd w:val="clear" w:fill="FFFFFF"/>
          <w:lang w:val="en-US" w:eastAsia="zh-CN"/>
        </w:rPr>
        <w:t>万元</w:t>
      </w:r>
      <w:r>
        <w:rPr>
          <w:rFonts w:hint="eastAsia" w:ascii="宋体" w:hAnsi="宋体" w:eastAsia="仿宋_GB2312" w:cs="仿宋_GB2312"/>
          <w:i w:val="0"/>
          <w:iCs w:val="0"/>
          <w:caps w:val="0"/>
          <w:color w:val="333333"/>
          <w:spacing w:val="6"/>
          <w:sz w:val="30"/>
          <w:szCs w:val="30"/>
          <w:highlight w:val="none"/>
          <w:shd w:val="clear" w:fill="FFFFFF"/>
        </w:rPr>
        <w:t>，</w:t>
      </w:r>
      <w:r>
        <w:rPr>
          <w:rFonts w:hint="eastAsia" w:ascii="宋体" w:hAnsi="宋体" w:cs="仿宋_GB2312"/>
          <w:i w:val="0"/>
          <w:iCs w:val="0"/>
          <w:caps w:val="0"/>
          <w:color w:val="333333"/>
          <w:spacing w:val="6"/>
          <w:sz w:val="30"/>
          <w:szCs w:val="30"/>
          <w:highlight w:val="none"/>
          <w:shd w:val="clear" w:fill="FFFFFF"/>
          <w:lang w:val="en-US" w:eastAsia="zh-CN"/>
        </w:rPr>
        <w:t>预算执行</w:t>
      </w:r>
      <w:r>
        <w:rPr>
          <w:rFonts w:hint="eastAsia" w:ascii="宋体" w:hAnsi="宋体" w:eastAsia="仿宋_GB2312" w:cs="仿宋_GB2312"/>
          <w:i w:val="0"/>
          <w:iCs w:val="0"/>
          <w:caps w:val="0"/>
          <w:color w:val="333333"/>
          <w:spacing w:val="6"/>
          <w:sz w:val="30"/>
          <w:szCs w:val="30"/>
          <w:highlight w:val="none"/>
          <w:shd w:val="clear" w:fill="FFFFFF"/>
        </w:rPr>
        <w:t>率为</w:t>
      </w:r>
      <w:r>
        <w:rPr>
          <w:rFonts w:hint="eastAsia" w:ascii="宋体" w:hAnsi="宋体" w:cs="仿宋_GB2312"/>
          <w:i w:val="0"/>
          <w:iCs w:val="0"/>
          <w:caps w:val="0"/>
          <w:color w:val="333333"/>
          <w:spacing w:val="6"/>
          <w:sz w:val="30"/>
          <w:szCs w:val="30"/>
          <w:highlight w:val="none"/>
          <w:shd w:val="clear" w:fill="FFFFFF"/>
          <w:lang w:val="en-US" w:eastAsia="zh-CN"/>
        </w:rPr>
        <w:t>100</w:t>
      </w:r>
      <w:r>
        <w:rPr>
          <w:rFonts w:hint="eastAsia" w:ascii="宋体" w:hAnsi="宋体" w:eastAsia="仿宋_GB2312" w:cs="仿宋_GB2312"/>
          <w:i w:val="0"/>
          <w:iCs w:val="0"/>
          <w:caps w:val="0"/>
          <w:color w:val="333333"/>
          <w:spacing w:val="6"/>
          <w:sz w:val="30"/>
          <w:szCs w:val="30"/>
          <w:highlight w:val="none"/>
          <w:shd w:val="clear" w:fill="FFFFFF"/>
        </w:rPr>
        <w:t>%。</w:t>
      </w:r>
    </w:p>
    <w:p w14:paraId="674E0D9F">
      <w:pPr>
        <w:pStyle w:val="2"/>
        <w:bidi w:val="0"/>
        <w:rPr>
          <w:rFonts w:hint="eastAsia" w:ascii="宋体" w:hAnsi="宋体"/>
        </w:rPr>
      </w:pPr>
      <w:bookmarkStart w:id="92" w:name="_Toc26436"/>
      <w:r>
        <w:rPr>
          <w:rFonts w:hint="eastAsia" w:ascii="宋体" w:hAnsi="宋体"/>
        </w:rPr>
        <w:t>（三）产出情况分析</w:t>
      </w:r>
      <w:bookmarkEnd w:id="92"/>
    </w:p>
    <w:p w14:paraId="0B3BD853">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highlight w:val="none"/>
          <w:shd w:val="clear" w:fill="FFFFFF"/>
        </w:rPr>
      </w:pPr>
      <w:r>
        <w:rPr>
          <w:rFonts w:hint="eastAsia" w:ascii="宋体" w:hAnsi="宋体" w:eastAsia="仿宋_GB2312" w:cs="仿宋_GB2312"/>
          <w:i w:val="0"/>
          <w:iCs w:val="0"/>
          <w:caps w:val="0"/>
          <w:color w:val="333333"/>
          <w:spacing w:val="6"/>
          <w:sz w:val="30"/>
          <w:szCs w:val="30"/>
          <w:shd w:val="clear" w:fill="FFFFFF"/>
        </w:rPr>
        <w:t>“产出”指标涉及二级指标4个，三级指标</w:t>
      </w:r>
      <w:r>
        <w:rPr>
          <w:rFonts w:hint="eastAsia" w:ascii="宋体" w:hAnsi="宋体" w:eastAsia="仿宋_GB2312"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rPr>
        <w:t>个，总分值</w:t>
      </w:r>
      <w:r>
        <w:rPr>
          <w:rFonts w:hint="eastAsia" w:ascii="宋体" w:hAnsi="宋体" w:eastAsia="仿宋_GB2312" w:cs="仿宋_GB2312"/>
          <w:i w:val="0"/>
          <w:iCs w:val="0"/>
          <w:caps w:val="0"/>
          <w:color w:val="333333"/>
          <w:spacing w:val="6"/>
          <w:sz w:val="30"/>
          <w:szCs w:val="30"/>
          <w:shd w:val="clear" w:fill="FFFFFF"/>
          <w:lang w:val="en-US" w:eastAsia="zh-CN"/>
        </w:rPr>
        <w:t>3</w:t>
      </w:r>
      <w:r>
        <w:rPr>
          <w:rFonts w:hint="eastAsia" w:ascii="宋体" w:hAnsi="宋体" w:cs="仿宋_GB2312"/>
          <w:i w:val="0"/>
          <w:iCs w:val="0"/>
          <w:caps w:val="0"/>
          <w:color w:val="333333"/>
          <w:spacing w:val="6"/>
          <w:sz w:val="30"/>
          <w:szCs w:val="30"/>
          <w:shd w:val="clear" w:fill="FFFFFF"/>
          <w:lang w:val="en-US" w:eastAsia="zh-CN"/>
        </w:rPr>
        <w:t>5</w:t>
      </w:r>
      <w:r>
        <w:rPr>
          <w:rFonts w:hint="eastAsia" w:ascii="宋体" w:hAnsi="宋体" w:eastAsia="仿宋_GB2312" w:cs="仿宋_GB2312"/>
          <w:i w:val="0"/>
          <w:iCs w:val="0"/>
          <w:caps w:val="0"/>
          <w:color w:val="333333"/>
          <w:spacing w:val="6"/>
          <w:sz w:val="30"/>
          <w:szCs w:val="30"/>
          <w:shd w:val="clear" w:fill="FFFFFF"/>
        </w:rPr>
        <w:t>分</w:t>
      </w:r>
      <w:r>
        <w:rPr>
          <w:rFonts w:hint="eastAsia" w:ascii="宋体" w:hAnsi="宋体" w:eastAsia="仿宋_GB2312" w:cs="仿宋_GB2312"/>
          <w:i w:val="0"/>
          <w:iCs w:val="0"/>
          <w:caps w:val="0"/>
          <w:color w:val="333333"/>
          <w:spacing w:val="6"/>
          <w:sz w:val="30"/>
          <w:szCs w:val="30"/>
          <w:highlight w:val="none"/>
          <w:shd w:val="clear" w:fill="FFFFFF"/>
        </w:rPr>
        <w:t>，得分</w:t>
      </w:r>
      <w:r>
        <w:rPr>
          <w:rFonts w:hint="eastAsia" w:ascii="宋体" w:hAnsi="宋体" w:cs="仿宋_GB2312"/>
          <w:i w:val="0"/>
          <w:iCs w:val="0"/>
          <w:caps w:val="0"/>
          <w:color w:val="333333"/>
          <w:spacing w:val="6"/>
          <w:sz w:val="30"/>
          <w:szCs w:val="30"/>
          <w:highlight w:val="none"/>
          <w:shd w:val="clear" w:fill="FFFFFF"/>
          <w:lang w:val="en-US" w:eastAsia="zh-CN"/>
        </w:rPr>
        <w:t>32</w:t>
      </w:r>
      <w:r>
        <w:rPr>
          <w:rFonts w:hint="eastAsia" w:ascii="宋体" w:hAnsi="宋体" w:eastAsia="仿宋_GB2312" w:cs="仿宋_GB2312"/>
          <w:i w:val="0"/>
          <w:iCs w:val="0"/>
          <w:caps w:val="0"/>
          <w:color w:val="333333"/>
          <w:spacing w:val="6"/>
          <w:sz w:val="30"/>
          <w:szCs w:val="30"/>
          <w:highlight w:val="none"/>
          <w:shd w:val="clear" w:fill="FFFFFF"/>
        </w:rPr>
        <w:t>分，得分率为</w:t>
      </w:r>
      <w:r>
        <w:rPr>
          <w:rFonts w:hint="eastAsia" w:ascii="宋体" w:hAnsi="宋体" w:cs="仿宋_GB2312"/>
          <w:i w:val="0"/>
          <w:iCs w:val="0"/>
          <w:caps w:val="0"/>
          <w:color w:val="333333"/>
          <w:spacing w:val="6"/>
          <w:sz w:val="30"/>
          <w:szCs w:val="30"/>
          <w:highlight w:val="none"/>
          <w:shd w:val="clear" w:fill="FFFFFF"/>
          <w:lang w:val="en-US" w:eastAsia="zh-CN"/>
        </w:rPr>
        <w:t>91.43</w:t>
      </w:r>
      <w:r>
        <w:rPr>
          <w:rFonts w:hint="eastAsia" w:ascii="宋体" w:hAnsi="宋体" w:eastAsia="仿宋_GB2312" w:cs="仿宋_GB2312"/>
          <w:i w:val="0"/>
          <w:iCs w:val="0"/>
          <w:caps w:val="0"/>
          <w:color w:val="333333"/>
          <w:spacing w:val="6"/>
          <w:sz w:val="30"/>
          <w:szCs w:val="30"/>
          <w:highlight w:val="none"/>
          <w:shd w:val="clear" w:fill="FFFFFF"/>
        </w:rPr>
        <w:t>%。</w:t>
      </w:r>
      <w:bookmarkStart w:id="93" w:name="_Toc30057"/>
      <w:bookmarkStart w:id="94" w:name="_Toc13530"/>
    </w:p>
    <w:p w14:paraId="7C02481B">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shd w:val="clear" w:fill="FFFFFF"/>
          <w:lang w:eastAsia="zh-CN"/>
        </w:rPr>
      </w:pPr>
      <w:r>
        <w:rPr>
          <w:rFonts w:hint="eastAsia" w:ascii="宋体" w:hAnsi="宋体" w:eastAsia="仿宋_GB2312" w:cs="仿宋_GB2312"/>
          <w:i w:val="0"/>
          <w:iCs w:val="0"/>
          <w:caps w:val="0"/>
          <w:color w:val="333333"/>
          <w:spacing w:val="6"/>
          <w:sz w:val="30"/>
          <w:szCs w:val="30"/>
          <w:shd w:val="clear" w:fill="FFFFFF"/>
        </w:rPr>
        <w:t>1.产出数量</w:t>
      </w:r>
      <w:r>
        <w:rPr>
          <w:rFonts w:hint="eastAsia" w:ascii="宋体" w:hAnsi="宋体" w:eastAsia="仿宋_GB2312" w:cs="仿宋_GB2312"/>
          <w:i w:val="0"/>
          <w:iCs w:val="0"/>
          <w:caps w:val="0"/>
          <w:color w:val="333333"/>
          <w:spacing w:val="6"/>
          <w:sz w:val="30"/>
          <w:szCs w:val="30"/>
          <w:shd w:val="clear" w:fill="FFFFFF"/>
          <w:lang w:eastAsia="zh-CN"/>
        </w:rPr>
        <w:t>（</w:t>
      </w:r>
      <w:r>
        <w:rPr>
          <w:rFonts w:hint="eastAsia" w:ascii="宋体" w:hAnsi="宋体" w:eastAsia="仿宋_GB2312" w:cs="仿宋_GB2312"/>
          <w:i w:val="0"/>
          <w:iCs w:val="0"/>
          <w:caps w:val="0"/>
          <w:color w:val="333333"/>
          <w:spacing w:val="6"/>
          <w:sz w:val="30"/>
          <w:szCs w:val="30"/>
          <w:shd w:val="clear" w:fill="FFFFFF"/>
          <w:lang w:val="en-US" w:eastAsia="zh-CN"/>
        </w:rPr>
        <w:t>满分9分，得分</w:t>
      </w:r>
      <w:r>
        <w:rPr>
          <w:rFonts w:hint="eastAsia" w:ascii="宋体" w:hAnsi="宋体" w:cs="仿宋_GB2312"/>
          <w:i w:val="0"/>
          <w:iCs w:val="0"/>
          <w:caps w:val="0"/>
          <w:color w:val="333333"/>
          <w:spacing w:val="6"/>
          <w:sz w:val="30"/>
          <w:szCs w:val="30"/>
          <w:shd w:val="clear" w:fill="FFFFFF"/>
          <w:lang w:val="en-US" w:eastAsia="zh-CN"/>
        </w:rPr>
        <w:t>9</w:t>
      </w:r>
      <w:r>
        <w:rPr>
          <w:rFonts w:hint="eastAsia" w:ascii="宋体" w:hAnsi="宋体" w:eastAsia="仿宋_GB2312" w:cs="仿宋_GB2312"/>
          <w:i w:val="0"/>
          <w:iCs w:val="0"/>
          <w:caps w:val="0"/>
          <w:color w:val="333333"/>
          <w:spacing w:val="6"/>
          <w:sz w:val="30"/>
          <w:szCs w:val="30"/>
          <w:shd w:val="clear" w:fill="FFFFFF"/>
          <w:lang w:val="en-US" w:eastAsia="zh-CN"/>
        </w:rPr>
        <w:t>分</w:t>
      </w:r>
      <w:r>
        <w:rPr>
          <w:rFonts w:hint="eastAsia" w:ascii="宋体" w:hAnsi="宋体" w:eastAsia="仿宋_GB2312" w:cs="仿宋_GB2312"/>
          <w:i w:val="0"/>
          <w:iCs w:val="0"/>
          <w:caps w:val="0"/>
          <w:color w:val="333333"/>
          <w:spacing w:val="6"/>
          <w:sz w:val="30"/>
          <w:szCs w:val="30"/>
          <w:shd w:val="clear" w:fill="FFFFFF"/>
          <w:lang w:eastAsia="zh-CN"/>
        </w:rPr>
        <w:t>）</w:t>
      </w:r>
      <w:bookmarkEnd w:id="93"/>
      <w:bookmarkEnd w:id="94"/>
    </w:p>
    <w:p w14:paraId="135E3B3E">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shd w:val="clear" w:fill="FFFFFF"/>
          <w:lang w:val="en-US" w:eastAsia="zh-CN"/>
        </w:rPr>
      </w:pPr>
      <w:r>
        <w:rPr>
          <w:rFonts w:hint="eastAsia" w:ascii="宋体" w:hAnsi="宋体" w:eastAsia="仿宋_GB2312" w:cs="仿宋_GB2312"/>
          <w:i w:val="0"/>
          <w:iCs w:val="0"/>
          <w:caps w:val="0"/>
          <w:color w:val="333333"/>
          <w:spacing w:val="6"/>
          <w:sz w:val="30"/>
          <w:szCs w:val="30"/>
          <w:shd w:val="clear" w:fill="FFFFFF"/>
          <w:lang w:val="en-US" w:eastAsia="zh-CN"/>
        </w:rPr>
        <w:t>工程完工度</w:t>
      </w:r>
    </w:p>
    <w:p w14:paraId="4AF9732A">
      <w:pPr>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624" w:firstLineChars="200"/>
        <w:jc w:val="both"/>
        <w:textAlignment w:val="baseline"/>
        <w:rPr>
          <w:rFonts w:hint="default" w:ascii="宋体" w:hAnsi="宋体" w:eastAsia="仿宋_GB2312" w:cs="仿宋_GB2312"/>
          <w:i w:val="0"/>
          <w:iCs w:val="0"/>
          <w:caps w:val="0"/>
          <w:color w:val="333333"/>
          <w:spacing w:val="6"/>
          <w:sz w:val="30"/>
          <w:szCs w:val="30"/>
          <w:shd w:val="clear" w:fill="FFFFFF"/>
          <w:lang w:val="en-US" w:eastAsia="zh-CN"/>
        </w:rPr>
      </w:pPr>
      <w:r>
        <w:rPr>
          <w:rFonts w:hint="eastAsia" w:ascii="宋体" w:hAnsi="宋体" w:eastAsia="仿宋_GB2312" w:cs="仿宋_GB2312"/>
          <w:i w:val="0"/>
          <w:iCs w:val="0"/>
          <w:caps w:val="0"/>
          <w:color w:val="333333"/>
          <w:spacing w:val="6"/>
          <w:sz w:val="30"/>
          <w:szCs w:val="30"/>
          <w:shd w:val="clear" w:fill="FFFFFF"/>
        </w:rPr>
        <w:t>指标分值</w:t>
      </w:r>
      <w:r>
        <w:rPr>
          <w:rFonts w:hint="eastAsia" w:ascii="宋体" w:hAnsi="宋体" w:eastAsia="仿宋_GB2312" w:cs="仿宋_GB2312"/>
          <w:i w:val="0"/>
          <w:iCs w:val="0"/>
          <w:caps w:val="0"/>
          <w:color w:val="333333"/>
          <w:spacing w:val="6"/>
          <w:sz w:val="30"/>
          <w:szCs w:val="30"/>
          <w:shd w:val="clear" w:fill="FFFFFF"/>
          <w:lang w:val="en-US" w:eastAsia="zh-CN"/>
        </w:rPr>
        <w:t>9</w:t>
      </w:r>
      <w:r>
        <w:rPr>
          <w:rFonts w:hint="eastAsia" w:ascii="宋体" w:hAnsi="宋体" w:eastAsia="仿宋_GB2312" w:cs="仿宋_GB2312"/>
          <w:i w:val="0"/>
          <w:iCs w:val="0"/>
          <w:caps w:val="0"/>
          <w:color w:val="333333"/>
          <w:spacing w:val="6"/>
          <w:sz w:val="30"/>
          <w:szCs w:val="30"/>
          <w:shd w:val="clear" w:fill="FFFFFF"/>
        </w:rPr>
        <w:t>分，得</w:t>
      </w:r>
      <w:r>
        <w:rPr>
          <w:rFonts w:hint="eastAsia" w:ascii="宋体" w:hAnsi="宋体" w:cs="仿宋_GB2312"/>
          <w:i w:val="0"/>
          <w:iCs w:val="0"/>
          <w:caps w:val="0"/>
          <w:color w:val="333333"/>
          <w:spacing w:val="6"/>
          <w:sz w:val="30"/>
          <w:szCs w:val="30"/>
          <w:shd w:val="clear" w:fill="FFFFFF"/>
          <w:lang w:val="en-US" w:eastAsia="zh-CN"/>
        </w:rPr>
        <w:t>9</w:t>
      </w:r>
      <w:r>
        <w:rPr>
          <w:rFonts w:hint="eastAsia" w:ascii="宋体" w:hAnsi="宋体" w:eastAsia="仿宋_GB2312" w:cs="仿宋_GB2312"/>
          <w:i w:val="0"/>
          <w:iCs w:val="0"/>
          <w:caps w:val="0"/>
          <w:color w:val="333333"/>
          <w:spacing w:val="6"/>
          <w:sz w:val="30"/>
          <w:szCs w:val="30"/>
          <w:shd w:val="clear" w:fill="FFFFFF"/>
        </w:rPr>
        <w:t>分。本项目按照二乙级医院建设标准，新建门诊医技住院综合楼、发热门诊楼、门卫处、污水处理垃圾处理处，项目单位填报的《地方政府专项债券项目绩效目标申报表（202</w:t>
      </w:r>
      <w:r>
        <w:rPr>
          <w:rFonts w:hint="eastAsia" w:ascii="宋体" w:hAnsi="宋体"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rPr>
        <w:t>年度）》中设立目标为完成工程项目建设总进度的</w:t>
      </w:r>
      <w:r>
        <w:rPr>
          <w:rFonts w:hint="eastAsia" w:ascii="宋体" w:hAnsi="宋体" w:cs="仿宋_GB2312"/>
          <w:i w:val="0"/>
          <w:iCs w:val="0"/>
          <w:caps w:val="0"/>
          <w:color w:val="333333"/>
          <w:spacing w:val="6"/>
          <w:sz w:val="30"/>
          <w:szCs w:val="30"/>
          <w:shd w:val="clear" w:fill="FFFFFF"/>
          <w:lang w:val="en-US" w:eastAsia="zh-CN"/>
        </w:rPr>
        <w:t>9</w:t>
      </w:r>
      <w:r>
        <w:rPr>
          <w:rFonts w:hint="eastAsia" w:ascii="宋体" w:hAnsi="宋体" w:eastAsia="仿宋_GB2312" w:cs="仿宋_GB2312"/>
          <w:i w:val="0"/>
          <w:iCs w:val="0"/>
          <w:caps w:val="0"/>
          <w:color w:val="333333"/>
          <w:spacing w:val="6"/>
          <w:sz w:val="30"/>
          <w:szCs w:val="30"/>
          <w:highlight w:val="none"/>
          <w:shd w:val="clear" w:fill="FFFFFF"/>
        </w:rPr>
        <w:t>0%。依据宽城区医院提供的情况说明，</w:t>
      </w:r>
      <w:r>
        <w:rPr>
          <w:rFonts w:hint="eastAsia" w:ascii="宋体" w:hAnsi="宋体" w:cs="仿宋_GB2312"/>
          <w:i w:val="0"/>
          <w:iCs w:val="0"/>
          <w:caps w:val="0"/>
          <w:color w:val="333333"/>
          <w:spacing w:val="6"/>
          <w:sz w:val="30"/>
          <w:szCs w:val="30"/>
          <w:highlight w:val="none"/>
          <w:shd w:val="clear" w:fill="FFFFFF"/>
          <w:lang w:val="en-US" w:eastAsia="zh-CN"/>
        </w:rPr>
        <w:t>本项目已完成主体工程、室内装饰安装工程、消防工程、通风空调、智能化弱电工程、医疗专项工程、地下室机械车位安装、换热站工程（包括红线内外）、电力工程（包括红线内外）等进入收尾阶段；室外工程已完成约50%，总体完工度超90%，</w:t>
      </w:r>
      <w:r>
        <w:rPr>
          <w:rFonts w:hint="eastAsia" w:ascii="宋体" w:hAnsi="宋体" w:eastAsia="仿宋_GB2312" w:cs="仿宋_GB2312"/>
          <w:i w:val="0"/>
          <w:iCs w:val="0"/>
          <w:caps w:val="0"/>
          <w:color w:val="333333"/>
          <w:spacing w:val="6"/>
          <w:sz w:val="30"/>
          <w:szCs w:val="30"/>
          <w:highlight w:val="none"/>
          <w:shd w:val="clear" w:fill="FFFFFF"/>
        </w:rPr>
        <w:t>达到年度目标。</w:t>
      </w:r>
      <w:r>
        <w:rPr>
          <w:rFonts w:hint="eastAsia" w:ascii="宋体" w:hAnsi="宋体" w:cs="仿宋_GB2312"/>
          <w:i w:val="0"/>
          <w:iCs w:val="0"/>
          <w:caps w:val="0"/>
          <w:color w:val="333333"/>
          <w:spacing w:val="6"/>
          <w:sz w:val="30"/>
          <w:szCs w:val="30"/>
          <w:shd w:val="clear" w:fill="FFFFFF"/>
          <w:lang w:val="en-US" w:eastAsia="zh-CN"/>
        </w:rPr>
        <w:t>设立目标</w:t>
      </w:r>
      <w:r>
        <w:rPr>
          <w:rFonts w:hint="eastAsia" w:ascii="宋体" w:hAnsi="宋体" w:eastAsia="仿宋_GB2312" w:cs="仿宋_GB2312"/>
          <w:i w:val="0"/>
          <w:iCs w:val="0"/>
          <w:caps w:val="0"/>
          <w:color w:val="333333"/>
          <w:spacing w:val="6"/>
          <w:sz w:val="30"/>
          <w:szCs w:val="30"/>
          <w:shd w:val="clear" w:fill="FFFFFF"/>
        </w:rPr>
        <w:t>投资规模达到项目总投资额55</w:t>
      </w:r>
      <w:r>
        <w:rPr>
          <w:rFonts w:hint="eastAsia" w:ascii="宋体" w:hAnsi="宋体" w:cs="仿宋_GB2312"/>
          <w:i w:val="0"/>
          <w:iCs w:val="0"/>
          <w:caps w:val="0"/>
          <w:color w:val="333333"/>
          <w:spacing w:val="6"/>
          <w:sz w:val="30"/>
          <w:szCs w:val="30"/>
          <w:shd w:val="clear" w:fill="FFFFFF"/>
          <w:lang w:val="en-US" w:eastAsia="zh-CN"/>
        </w:rPr>
        <w:t>,</w:t>
      </w:r>
      <w:r>
        <w:rPr>
          <w:rFonts w:hint="eastAsia" w:ascii="宋体" w:hAnsi="宋体" w:eastAsia="仿宋_GB2312" w:cs="仿宋_GB2312"/>
          <w:i w:val="0"/>
          <w:iCs w:val="0"/>
          <w:caps w:val="0"/>
          <w:color w:val="333333"/>
          <w:spacing w:val="6"/>
          <w:sz w:val="30"/>
          <w:szCs w:val="30"/>
          <w:shd w:val="clear" w:fill="FFFFFF"/>
        </w:rPr>
        <w:t>169.10万元的</w:t>
      </w:r>
      <w:r>
        <w:rPr>
          <w:rFonts w:hint="eastAsia" w:ascii="宋体" w:hAnsi="宋体" w:cs="仿宋_GB2312"/>
          <w:i w:val="0"/>
          <w:iCs w:val="0"/>
          <w:caps w:val="0"/>
          <w:color w:val="333333"/>
          <w:spacing w:val="6"/>
          <w:sz w:val="30"/>
          <w:szCs w:val="30"/>
          <w:shd w:val="clear" w:fill="FFFFFF"/>
          <w:lang w:val="en-US" w:eastAsia="zh-CN"/>
        </w:rPr>
        <w:t>60</w:t>
      </w:r>
      <w:r>
        <w:rPr>
          <w:rFonts w:hint="eastAsia" w:ascii="宋体" w:hAnsi="宋体" w:eastAsia="仿宋_GB2312" w:cs="仿宋_GB2312"/>
          <w:i w:val="0"/>
          <w:iCs w:val="0"/>
          <w:caps w:val="0"/>
          <w:color w:val="333333"/>
          <w:spacing w:val="6"/>
          <w:sz w:val="30"/>
          <w:szCs w:val="30"/>
          <w:shd w:val="clear" w:fill="FFFFFF"/>
        </w:rPr>
        <w:t>%</w:t>
      </w:r>
      <w:r>
        <w:rPr>
          <w:rFonts w:hint="eastAsia" w:ascii="宋体" w:hAnsi="宋体" w:cs="仿宋_GB2312"/>
          <w:i w:val="0"/>
          <w:iCs w:val="0"/>
          <w:caps w:val="0"/>
          <w:color w:val="333333"/>
          <w:spacing w:val="6"/>
          <w:sz w:val="30"/>
          <w:szCs w:val="30"/>
          <w:shd w:val="clear" w:fill="FFFFFF"/>
          <w:lang w:eastAsia="zh-CN"/>
        </w:rPr>
        <w:t>，</w:t>
      </w:r>
      <w:r>
        <w:rPr>
          <w:rFonts w:hint="eastAsia" w:ascii="宋体" w:hAnsi="宋体" w:cs="仿宋_GB2312"/>
          <w:i w:val="0"/>
          <w:iCs w:val="0"/>
          <w:caps w:val="0"/>
          <w:color w:val="333333"/>
          <w:spacing w:val="6"/>
          <w:sz w:val="30"/>
          <w:szCs w:val="30"/>
          <w:shd w:val="clear" w:fill="FFFFFF"/>
          <w:lang w:val="en-US" w:eastAsia="zh-CN"/>
        </w:rPr>
        <w:t>截至2024年末总投资金额</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34,646.70</w:t>
      </w:r>
      <w:r>
        <w:rPr>
          <w:rFonts w:hint="eastAsia" w:ascii="宋体" w:hAnsi="宋体" w:cs="仿宋_GB2312"/>
          <w:i w:val="0"/>
          <w:iCs w:val="0"/>
          <w:caps w:val="0"/>
          <w:color w:val="333333"/>
          <w:spacing w:val="6"/>
          <w:sz w:val="30"/>
          <w:szCs w:val="30"/>
          <w:highlight w:val="none"/>
          <w:shd w:val="clear" w:fill="FFFFFF"/>
          <w:lang w:val="en-US" w:eastAsia="zh-CN"/>
        </w:rPr>
        <w:t>万元，占总投资规模55,169.10万元的62.80%，达到计划投资规模。</w:t>
      </w:r>
    </w:p>
    <w:p w14:paraId="389D64F4">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shd w:val="clear" w:fill="FFFFFF"/>
          <w:lang w:eastAsia="zh-CN"/>
        </w:rPr>
      </w:pPr>
      <w:bookmarkStart w:id="95" w:name="_Toc13696"/>
      <w:bookmarkStart w:id="96" w:name="_Toc29659"/>
      <w:r>
        <w:rPr>
          <w:rFonts w:hint="eastAsia" w:ascii="宋体" w:hAnsi="宋体" w:eastAsia="仿宋_GB2312" w:cs="仿宋_GB2312"/>
          <w:i w:val="0"/>
          <w:iCs w:val="0"/>
          <w:caps w:val="0"/>
          <w:color w:val="333333"/>
          <w:spacing w:val="6"/>
          <w:sz w:val="30"/>
          <w:szCs w:val="30"/>
          <w:shd w:val="clear" w:fill="FFFFFF"/>
        </w:rPr>
        <w:t>2.产出质量</w:t>
      </w:r>
      <w:r>
        <w:rPr>
          <w:rFonts w:hint="eastAsia" w:ascii="宋体" w:hAnsi="宋体" w:eastAsia="仿宋_GB2312" w:cs="仿宋_GB2312"/>
          <w:i w:val="0"/>
          <w:iCs w:val="0"/>
          <w:caps w:val="0"/>
          <w:color w:val="333333"/>
          <w:spacing w:val="6"/>
          <w:sz w:val="30"/>
          <w:szCs w:val="30"/>
          <w:shd w:val="clear" w:fill="FFFFFF"/>
          <w:lang w:eastAsia="zh-CN"/>
        </w:rPr>
        <w:t>（</w:t>
      </w:r>
      <w:r>
        <w:rPr>
          <w:rFonts w:hint="eastAsia" w:ascii="宋体" w:hAnsi="宋体" w:eastAsia="仿宋_GB2312" w:cs="仿宋_GB2312"/>
          <w:i w:val="0"/>
          <w:iCs w:val="0"/>
          <w:caps w:val="0"/>
          <w:color w:val="333333"/>
          <w:spacing w:val="6"/>
          <w:sz w:val="30"/>
          <w:szCs w:val="30"/>
          <w:shd w:val="clear" w:fill="FFFFFF"/>
          <w:lang w:val="en-US" w:eastAsia="zh-CN"/>
        </w:rPr>
        <w:t>满分9分，得分9分</w:t>
      </w:r>
      <w:r>
        <w:rPr>
          <w:rFonts w:hint="eastAsia" w:ascii="宋体" w:hAnsi="宋体" w:eastAsia="仿宋_GB2312" w:cs="仿宋_GB2312"/>
          <w:i w:val="0"/>
          <w:iCs w:val="0"/>
          <w:caps w:val="0"/>
          <w:color w:val="333333"/>
          <w:spacing w:val="6"/>
          <w:sz w:val="30"/>
          <w:szCs w:val="30"/>
          <w:shd w:val="clear" w:fill="FFFFFF"/>
          <w:lang w:eastAsia="zh-CN"/>
        </w:rPr>
        <w:t>）</w:t>
      </w:r>
      <w:bookmarkEnd w:id="95"/>
      <w:bookmarkEnd w:id="96"/>
    </w:p>
    <w:p w14:paraId="4B236777">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shd w:val="clear" w:fill="FFFFFF"/>
        </w:rPr>
      </w:pPr>
      <w:r>
        <w:rPr>
          <w:rFonts w:hint="eastAsia" w:ascii="宋体" w:hAnsi="宋体" w:eastAsia="仿宋_GB2312" w:cs="仿宋_GB2312"/>
          <w:i w:val="0"/>
          <w:iCs w:val="0"/>
          <w:caps w:val="0"/>
          <w:color w:val="333333"/>
          <w:spacing w:val="6"/>
          <w:sz w:val="30"/>
          <w:szCs w:val="30"/>
          <w:shd w:val="clear" w:fill="FFFFFF"/>
        </w:rPr>
        <w:t>质量达标</w:t>
      </w:r>
      <w:bookmarkStart w:id="134" w:name="_GoBack"/>
      <w:bookmarkEnd w:id="134"/>
    </w:p>
    <w:p w14:paraId="52F5BE1E">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pP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指标分值9分，得9分。依据宽城区医院提供的情况说明，本项目在建工程施工现场安全质量管理到位，材料送检全部合格，符合国家相关行业的质量检测标准，不存在其他隐患。</w:t>
      </w:r>
    </w:p>
    <w:p w14:paraId="3927C890">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pPr>
      <w:bookmarkStart w:id="97" w:name="_Toc25935"/>
      <w:bookmarkStart w:id="98" w:name="_Toc26184"/>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3.产出时效（满分8分，得分5分）</w:t>
      </w:r>
      <w:bookmarkEnd w:id="97"/>
      <w:bookmarkEnd w:id="98"/>
    </w:p>
    <w:p w14:paraId="712B4CA3">
      <w:pPr>
        <w:pStyle w:val="5"/>
        <w:pageBreakBefore w:val="0"/>
        <w:wordWrap/>
        <w:overflowPunct/>
        <w:topLinePunct w:val="0"/>
        <w:bidi w:val="0"/>
        <w:jc w:val="both"/>
        <w:textAlignment w:val="baseline"/>
        <w:rPr>
          <w:rFonts w:hint="eastAsia" w:ascii="宋体" w:hAnsi="宋体"/>
          <w:lang w:val="en-US" w:eastAsia="zh-CN"/>
        </w:rPr>
      </w:pPr>
      <w:r>
        <w:rPr>
          <w:rFonts w:hint="eastAsia" w:ascii="宋体" w:hAnsi="宋体"/>
          <w:lang w:val="en-US" w:eastAsia="zh-CN"/>
        </w:rPr>
        <w:t>开工竣工及时率</w:t>
      </w:r>
    </w:p>
    <w:p w14:paraId="0C0B5E49">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both"/>
        <w:textAlignment w:val="baseline"/>
        <w:rPr>
          <w:rFonts w:hint="default" w:ascii="宋体" w:hAnsi="宋体" w:eastAsia="仿宋_GB2312" w:cs="仿宋_GB2312"/>
          <w:i w:val="0"/>
          <w:iCs w:val="0"/>
          <w:caps w:val="0"/>
          <w:color w:val="333333"/>
          <w:spacing w:val="6"/>
          <w:sz w:val="30"/>
          <w:szCs w:val="30"/>
          <w:highlight w:val="none"/>
          <w:shd w:val="clear" w:fill="FFFFFF"/>
          <w:lang w:val="en-US" w:eastAsia="zh-CN"/>
        </w:rPr>
      </w:pPr>
      <w:r>
        <w:rPr>
          <w:rFonts w:hint="eastAsia" w:ascii="宋体" w:hAnsi="宋体" w:eastAsia="仿宋_GB2312" w:cs="仿宋_GB2312"/>
          <w:i w:val="0"/>
          <w:iCs w:val="0"/>
          <w:caps w:val="0"/>
          <w:color w:val="333333"/>
          <w:spacing w:val="6"/>
          <w:sz w:val="30"/>
          <w:szCs w:val="30"/>
          <w:highlight w:val="none"/>
          <w:shd w:val="clear" w:fill="FFFFFF"/>
          <w:lang w:val="en-US" w:eastAsia="zh-CN"/>
        </w:rPr>
        <w:t>指标分值</w:t>
      </w:r>
      <w:r>
        <w:rPr>
          <w:rFonts w:hint="eastAsia" w:ascii="宋体" w:hAnsi="宋体" w:cs="仿宋_GB2312"/>
          <w:i w:val="0"/>
          <w:iCs w:val="0"/>
          <w:caps w:val="0"/>
          <w:color w:val="333333"/>
          <w:spacing w:val="6"/>
          <w:sz w:val="30"/>
          <w:szCs w:val="30"/>
          <w:highlight w:val="none"/>
          <w:shd w:val="clear" w:fill="FFFFFF"/>
          <w:lang w:val="en-US" w:eastAsia="zh-CN"/>
        </w:rPr>
        <w:t>8</w:t>
      </w:r>
      <w:r>
        <w:rPr>
          <w:rFonts w:hint="eastAsia" w:ascii="宋体" w:hAnsi="宋体" w:eastAsia="仿宋_GB2312" w:cs="仿宋_GB2312"/>
          <w:i w:val="0"/>
          <w:iCs w:val="0"/>
          <w:caps w:val="0"/>
          <w:color w:val="333333"/>
          <w:spacing w:val="6"/>
          <w:sz w:val="30"/>
          <w:szCs w:val="30"/>
          <w:highlight w:val="none"/>
          <w:shd w:val="clear" w:fill="FFFFFF"/>
          <w:lang w:val="en-US" w:eastAsia="zh-CN"/>
        </w:rPr>
        <w:t>分，得分</w:t>
      </w:r>
      <w:r>
        <w:rPr>
          <w:rFonts w:hint="eastAsia" w:ascii="宋体" w:hAnsi="宋体" w:cs="仿宋_GB2312"/>
          <w:i w:val="0"/>
          <w:iCs w:val="0"/>
          <w:caps w:val="0"/>
          <w:color w:val="333333"/>
          <w:spacing w:val="6"/>
          <w:sz w:val="30"/>
          <w:szCs w:val="30"/>
          <w:highlight w:val="none"/>
          <w:shd w:val="clear" w:fill="FFFFFF"/>
          <w:lang w:val="en-US" w:eastAsia="zh-CN"/>
        </w:rPr>
        <w:t>5</w:t>
      </w:r>
      <w:r>
        <w:rPr>
          <w:rFonts w:hint="eastAsia" w:ascii="宋体" w:hAnsi="宋体" w:eastAsia="仿宋_GB2312" w:cs="仿宋_GB2312"/>
          <w:i w:val="0"/>
          <w:iCs w:val="0"/>
          <w:caps w:val="0"/>
          <w:color w:val="333333"/>
          <w:spacing w:val="6"/>
          <w:sz w:val="30"/>
          <w:szCs w:val="30"/>
          <w:highlight w:val="none"/>
          <w:shd w:val="clear" w:fill="FFFFFF"/>
          <w:lang w:val="en-US" w:eastAsia="zh-CN"/>
        </w:rPr>
        <w:t>分</w:t>
      </w:r>
      <w:r>
        <w:rPr>
          <w:rFonts w:hint="eastAsia" w:ascii="宋体" w:hAnsi="宋体" w:cs="仿宋_GB2312"/>
          <w:i w:val="0"/>
          <w:iCs w:val="0"/>
          <w:caps w:val="0"/>
          <w:color w:val="333333"/>
          <w:spacing w:val="6"/>
          <w:sz w:val="30"/>
          <w:szCs w:val="30"/>
          <w:highlight w:val="none"/>
          <w:shd w:val="clear" w:fill="FFFFFF"/>
          <w:lang w:val="en-US" w:eastAsia="zh-CN"/>
        </w:rPr>
        <w:t>，扣3分</w:t>
      </w:r>
      <w:r>
        <w:rPr>
          <w:rFonts w:hint="eastAsia" w:ascii="宋体" w:hAnsi="宋体" w:eastAsia="仿宋_GB2312" w:cs="仿宋_GB2312"/>
          <w:i w:val="0"/>
          <w:iCs w:val="0"/>
          <w:caps w:val="0"/>
          <w:color w:val="333333"/>
          <w:spacing w:val="6"/>
          <w:sz w:val="30"/>
          <w:szCs w:val="30"/>
          <w:highlight w:val="none"/>
          <w:shd w:val="clear" w:fill="FFFFFF"/>
          <w:lang w:val="en-US" w:eastAsia="zh-CN"/>
        </w:rPr>
        <w:t>。根据</w:t>
      </w:r>
      <w:r>
        <w:rPr>
          <w:rFonts w:hint="eastAsia" w:ascii="宋体" w:hAnsi="宋体" w:cs="仿宋_GB2312"/>
          <w:i w:val="0"/>
          <w:iCs w:val="0"/>
          <w:caps w:val="0"/>
          <w:color w:val="333333"/>
          <w:spacing w:val="6"/>
          <w:sz w:val="30"/>
          <w:szCs w:val="30"/>
          <w:highlight w:val="none"/>
          <w:shd w:val="clear" w:fill="FFFFFF"/>
          <w:lang w:val="en-US" w:eastAsia="zh-CN"/>
        </w:rPr>
        <w:t>《宽城区发展和改革局关于调整长春市宽城区医院异地建设项目初步设计的批复》（长宽发改字【2023】16号）</w:t>
      </w:r>
      <w:r>
        <w:rPr>
          <w:rFonts w:hint="eastAsia" w:ascii="宋体" w:hAnsi="宋体" w:eastAsia="仿宋_GB2312" w:cs="仿宋_GB2312"/>
          <w:i w:val="0"/>
          <w:iCs w:val="0"/>
          <w:caps w:val="0"/>
          <w:color w:val="333333"/>
          <w:spacing w:val="6"/>
          <w:sz w:val="30"/>
          <w:szCs w:val="30"/>
          <w:highlight w:val="none"/>
          <w:shd w:val="clear" w:fill="FFFFFF"/>
          <w:lang w:val="en-US" w:eastAsia="zh-CN"/>
        </w:rPr>
        <w:t>，本项目</w:t>
      </w:r>
      <w:r>
        <w:rPr>
          <w:rFonts w:hint="eastAsia" w:ascii="宋体" w:hAnsi="宋体" w:cs="仿宋_GB2312"/>
          <w:i w:val="0"/>
          <w:iCs w:val="0"/>
          <w:caps w:val="0"/>
          <w:color w:val="333333"/>
          <w:spacing w:val="6"/>
          <w:sz w:val="30"/>
          <w:szCs w:val="30"/>
          <w:highlight w:val="none"/>
          <w:shd w:val="clear" w:fill="FFFFFF"/>
          <w:lang w:val="en-US" w:eastAsia="zh-CN"/>
        </w:rPr>
        <w:t>实施进度计划为36个月</w:t>
      </w:r>
      <w:r>
        <w:rPr>
          <w:rFonts w:hint="eastAsia" w:ascii="宋体" w:hAnsi="宋体" w:eastAsia="仿宋_GB2312" w:cs="仿宋_GB2312"/>
          <w:i w:val="0"/>
          <w:iCs w:val="0"/>
          <w:caps w:val="0"/>
          <w:color w:val="333333"/>
          <w:spacing w:val="6"/>
          <w:sz w:val="30"/>
          <w:szCs w:val="30"/>
          <w:highlight w:val="none"/>
          <w:shd w:val="clear" w:fill="FFFFFF"/>
          <w:lang w:val="en-US" w:eastAsia="zh-CN"/>
        </w:rPr>
        <w:t>，</w:t>
      </w:r>
      <w:r>
        <w:rPr>
          <w:rFonts w:hint="eastAsia" w:ascii="宋体" w:hAnsi="宋体" w:cs="仿宋_GB2312"/>
          <w:i w:val="0"/>
          <w:iCs w:val="0"/>
          <w:caps w:val="0"/>
          <w:color w:val="333333"/>
          <w:spacing w:val="6"/>
          <w:sz w:val="30"/>
          <w:szCs w:val="30"/>
          <w:highlight w:val="none"/>
          <w:shd w:val="clear" w:fill="FFFFFF"/>
          <w:lang w:val="en-US" w:eastAsia="zh-CN"/>
        </w:rPr>
        <w:t>从2022月9月-2025年8月</w:t>
      </w:r>
      <w:r>
        <w:rPr>
          <w:rFonts w:hint="eastAsia" w:ascii="宋体" w:hAnsi="宋体" w:eastAsia="仿宋_GB2312" w:cs="仿宋_GB2312"/>
          <w:i w:val="0"/>
          <w:iCs w:val="0"/>
          <w:caps w:val="0"/>
          <w:color w:val="333333"/>
          <w:spacing w:val="6"/>
          <w:sz w:val="30"/>
          <w:szCs w:val="30"/>
          <w:highlight w:val="none"/>
          <w:shd w:val="clear" w:fill="FFFFFF"/>
          <w:lang w:val="en-US" w:eastAsia="zh-CN"/>
        </w:rPr>
        <w:t>。</w:t>
      </w:r>
      <w:r>
        <w:rPr>
          <w:rFonts w:hint="eastAsia" w:ascii="宋体" w:hAnsi="宋体" w:cs="仿宋_GB2312"/>
          <w:i w:val="0"/>
          <w:iCs w:val="0"/>
          <w:caps w:val="0"/>
          <w:color w:val="333333"/>
          <w:spacing w:val="6"/>
          <w:sz w:val="30"/>
          <w:szCs w:val="30"/>
          <w:highlight w:val="none"/>
          <w:shd w:val="clear" w:fill="FFFFFF"/>
          <w:lang w:val="en-US" w:eastAsia="zh-CN"/>
        </w:rPr>
        <w:t>依据开工报告，本项目开工日期为2023年4月7日</w:t>
      </w:r>
      <w:r>
        <w:rPr>
          <w:rFonts w:hint="eastAsia" w:ascii="宋体" w:hAnsi="宋体" w:eastAsia="仿宋_GB2312" w:cs="仿宋_GB2312"/>
          <w:i w:val="0"/>
          <w:iCs w:val="0"/>
          <w:caps w:val="0"/>
          <w:color w:val="333333"/>
          <w:spacing w:val="6"/>
          <w:sz w:val="30"/>
          <w:szCs w:val="30"/>
          <w:highlight w:val="none"/>
          <w:shd w:val="clear" w:fill="FFFFFF"/>
          <w:lang w:val="en-US" w:eastAsia="zh-CN"/>
        </w:rPr>
        <w:t>，</w:t>
      </w:r>
      <w:r>
        <w:rPr>
          <w:rFonts w:hint="eastAsia" w:ascii="宋体" w:hAnsi="宋体" w:cs="仿宋_GB2312"/>
          <w:i w:val="0"/>
          <w:iCs w:val="0"/>
          <w:caps w:val="0"/>
          <w:color w:val="333333"/>
          <w:spacing w:val="6"/>
          <w:sz w:val="30"/>
          <w:szCs w:val="30"/>
          <w:highlight w:val="none"/>
          <w:shd w:val="clear" w:fill="FFFFFF"/>
          <w:lang w:val="en-US" w:eastAsia="zh-CN"/>
        </w:rPr>
        <w:t>未按规定日期开工，</w:t>
      </w:r>
      <w:r>
        <w:rPr>
          <w:rFonts w:hint="eastAsia" w:ascii="宋体" w:hAnsi="宋体" w:eastAsia="仿宋_GB2312" w:cs="仿宋_GB2312"/>
          <w:i w:val="0"/>
          <w:iCs w:val="0"/>
          <w:caps w:val="0"/>
          <w:color w:val="333333"/>
          <w:spacing w:val="6"/>
          <w:sz w:val="30"/>
          <w:szCs w:val="30"/>
          <w:highlight w:val="none"/>
          <w:shd w:val="clear" w:fill="FFFFFF"/>
          <w:lang w:val="en-US" w:eastAsia="zh-CN"/>
        </w:rPr>
        <w:t>扣</w:t>
      </w:r>
      <w:r>
        <w:rPr>
          <w:rFonts w:hint="eastAsia" w:ascii="宋体" w:hAnsi="宋体" w:cs="仿宋_GB2312"/>
          <w:i w:val="0"/>
          <w:iCs w:val="0"/>
          <w:caps w:val="0"/>
          <w:color w:val="333333"/>
          <w:spacing w:val="6"/>
          <w:sz w:val="30"/>
          <w:szCs w:val="30"/>
          <w:highlight w:val="none"/>
          <w:shd w:val="clear" w:fill="FFFFFF"/>
          <w:lang w:val="en-US" w:eastAsia="zh-CN"/>
        </w:rPr>
        <w:t>3</w:t>
      </w:r>
      <w:r>
        <w:rPr>
          <w:rFonts w:hint="eastAsia" w:ascii="宋体" w:hAnsi="宋体" w:eastAsia="仿宋_GB2312" w:cs="仿宋_GB2312"/>
          <w:i w:val="0"/>
          <w:iCs w:val="0"/>
          <w:caps w:val="0"/>
          <w:color w:val="333333"/>
          <w:spacing w:val="6"/>
          <w:sz w:val="30"/>
          <w:szCs w:val="30"/>
          <w:highlight w:val="none"/>
          <w:shd w:val="clear" w:fill="FFFFFF"/>
          <w:lang w:val="en-US" w:eastAsia="zh-CN"/>
        </w:rPr>
        <w:t>分</w:t>
      </w:r>
      <w:r>
        <w:rPr>
          <w:rFonts w:hint="eastAsia" w:ascii="宋体" w:hAnsi="宋体" w:cs="仿宋_GB2312"/>
          <w:i w:val="0"/>
          <w:iCs w:val="0"/>
          <w:caps w:val="0"/>
          <w:color w:val="333333"/>
          <w:spacing w:val="6"/>
          <w:sz w:val="30"/>
          <w:szCs w:val="30"/>
          <w:highlight w:val="none"/>
          <w:shd w:val="clear" w:fill="FFFFFF"/>
          <w:lang w:val="en-US" w:eastAsia="zh-CN"/>
        </w:rPr>
        <w:t>，本</w:t>
      </w:r>
      <w:r>
        <w:rPr>
          <w:rFonts w:hint="eastAsia" w:ascii="宋体" w:hAnsi="宋体" w:eastAsia="仿宋_GB2312" w:cs="仿宋_GB2312"/>
          <w:i w:val="0"/>
          <w:iCs w:val="0"/>
          <w:caps w:val="0"/>
          <w:color w:val="333333"/>
          <w:spacing w:val="6"/>
          <w:sz w:val="30"/>
          <w:szCs w:val="30"/>
          <w:highlight w:val="none"/>
          <w:shd w:val="clear" w:fill="FFFFFF"/>
          <w:lang w:val="en-US" w:eastAsia="zh-CN"/>
        </w:rPr>
        <w:t>项目目前</w:t>
      </w:r>
      <w:r>
        <w:rPr>
          <w:rFonts w:hint="eastAsia" w:ascii="宋体" w:hAnsi="宋体" w:cs="仿宋_GB2312"/>
          <w:i w:val="0"/>
          <w:iCs w:val="0"/>
          <w:caps w:val="0"/>
          <w:color w:val="333333"/>
          <w:spacing w:val="6"/>
          <w:sz w:val="30"/>
          <w:szCs w:val="30"/>
          <w:highlight w:val="none"/>
          <w:shd w:val="clear" w:fill="FFFFFF"/>
          <w:lang w:val="en-US" w:eastAsia="zh-CN"/>
        </w:rPr>
        <w:t>尚未达到竣工期限，</w:t>
      </w:r>
      <w:r>
        <w:rPr>
          <w:rFonts w:hint="eastAsia" w:ascii="宋体" w:hAnsi="宋体" w:eastAsia="仿宋_GB2312" w:cs="仿宋_GB2312"/>
          <w:i w:val="0"/>
          <w:iCs w:val="0"/>
          <w:caps w:val="0"/>
          <w:color w:val="333333"/>
          <w:spacing w:val="6"/>
          <w:sz w:val="30"/>
          <w:szCs w:val="30"/>
          <w:highlight w:val="none"/>
          <w:shd w:val="clear" w:fill="FFFFFF"/>
          <w:lang w:val="en-US" w:eastAsia="zh-CN"/>
        </w:rPr>
        <w:t>正在建设中。</w:t>
      </w:r>
    </w:p>
    <w:p w14:paraId="4E1D00FA">
      <w:pPr>
        <w:pStyle w:val="4"/>
        <w:pageBreakBefore w:val="0"/>
        <w:wordWrap/>
        <w:overflowPunct/>
        <w:topLinePunct w:val="0"/>
        <w:bidi w:val="0"/>
        <w:jc w:val="both"/>
        <w:textAlignment w:val="baseline"/>
        <w:rPr>
          <w:rFonts w:hint="eastAsia" w:ascii="宋体" w:hAnsi="宋体"/>
          <w:lang w:eastAsia="zh-CN"/>
        </w:rPr>
      </w:pPr>
      <w:bookmarkStart w:id="99" w:name="_Toc19320"/>
      <w:bookmarkStart w:id="100" w:name="_Toc4172"/>
      <w:bookmarkStart w:id="101" w:name="_Toc1845"/>
      <w:r>
        <w:rPr>
          <w:rFonts w:hint="eastAsia" w:ascii="宋体" w:hAnsi="宋体"/>
        </w:rPr>
        <w:t>4.产出成本</w:t>
      </w:r>
      <w:r>
        <w:rPr>
          <w:rFonts w:hint="eastAsia" w:ascii="宋体" w:hAnsi="宋体"/>
          <w:lang w:eastAsia="zh-CN"/>
        </w:rPr>
        <w:t>（</w:t>
      </w:r>
      <w:r>
        <w:rPr>
          <w:rFonts w:hint="eastAsia" w:ascii="宋体" w:hAnsi="宋体"/>
          <w:lang w:val="en-US" w:eastAsia="zh-CN"/>
        </w:rPr>
        <w:t>满分9分，得分9分</w:t>
      </w:r>
      <w:r>
        <w:rPr>
          <w:rFonts w:hint="eastAsia" w:ascii="宋体" w:hAnsi="宋体"/>
          <w:lang w:eastAsia="zh-CN"/>
        </w:rPr>
        <w:t>）</w:t>
      </w:r>
      <w:bookmarkEnd w:id="99"/>
      <w:bookmarkEnd w:id="100"/>
      <w:bookmarkEnd w:id="101"/>
    </w:p>
    <w:p w14:paraId="6B05C80F">
      <w:pPr>
        <w:pStyle w:val="5"/>
        <w:pageBreakBefore w:val="0"/>
        <w:wordWrap/>
        <w:overflowPunct/>
        <w:topLinePunct w:val="0"/>
        <w:bidi w:val="0"/>
        <w:jc w:val="both"/>
        <w:textAlignment w:val="baseline"/>
        <w:rPr>
          <w:rFonts w:hint="eastAsia" w:ascii="宋体" w:hAnsi="宋体"/>
        </w:rPr>
      </w:pPr>
      <w:r>
        <w:rPr>
          <w:rFonts w:hint="eastAsia" w:ascii="宋体" w:hAnsi="宋体"/>
        </w:rPr>
        <w:t>成本</w:t>
      </w:r>
      <w:r>
        <w:rPr>
          <w:rFonts w:hint="eastAsia" w:ascii="宋体" w:hAnsi="宋体"/>
          <w:lang w:val="en-US" w:eastAsia="zh-CN"/>
        </w:rPr>
        <w:t>使用</w:t>
      </w:r>
    </w:p>
    <w:p w14:paraId="42DD40B0">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both"/>
        <w:textAlignment w:val="baseline"/>
        <w:rPr>
          <w:rFonts w:hint="default" w:ascii="宋体" w:hAnsi="宋体" w:eastAsia="仿宋_GB2312" w:cs="仿宋_GB2312"/>
          <w:i w:val="0"/>
          <w:iCs w:val="0"/>
          <w:caps w:val="0"/>
          <w:color w:val="333333"/>
          <w:spacing w:val="6"/>
          <w:sz w:val="30"/>
          <w:szCs w:val="30"/>
          <w:shd w:val="clear" w:fill="FFFFFF"/>
          <w:lang w:val="en-US" w:eastAsia="zh-CN"/>
        </w:rPr>
      </w:pPr>
      <w:r>
        <w:rPr>
          <w:rFonts w:hint="eastAsia" w:ascii="宋体" w:hAnsi="宋体" w:eastAsia="仿宋_GB2312" w:cs="仿宋_GB2312"/>
          <w:i w:val="0"/>
          <w:iCs w:val="0"/>
          <w:caps w:val="0"/>
          <w:color w:val="333333"/>
          <w:spacing w:val="6"/>
          <w:sz w:val="30"/>
          <w:szCs w:val="30"/>
          <w:shd w:val="clear" w:fill="FFFFFF"/>
          <w:lang w:val="en-US" w:eastAsia="zh-CN"/>
        </w:rPr>
        <w:t>指标分值9分，得分</w:t>
      </w:r>
      <w:r>
        <w:rPr>
          <w:rFonts w:hint="eastAsia" w:ascii="宋体" w:hAnsi="宋体" w:cs="仿宋_GB2312"/>
          <w:i w:val="0"/>
          <w:iCs w:val="0"/>
          <w:caps w:val="0"/>
          <w:color w:val="333333"/>
          <w:spacing w:val="6"/>
          <w:sz w:val="30"/>
          <w:szCs w:val="30"/>
          <w:shd w:val="clear" w:fill="FFFFFF"/>
          <w:lang w:val="en-US" w:eastAsia="zh-CN"/>
        </w:rPr>
        <w:t>9</w:t>
      </w:r>
      <w:r>
        <w:rPr>
          <w:rFonts w:hint="eastAsia" w:ascii="宋体" w:hAnsi="宋体" w:eastAsia="仿宋_GB2312" w:cs="仿宋_GB2312"/>
          <w:i w:val="0"/>
          <w:iCs w:val="0"/>
          <w:caps w:val="0"/>
          <w:color w:val="333333"/>
          <w:spacing w:val="6"/>
          <w:sz w:val="30"/>
          <w:szCs w:val="30"/>
          <w:shd w:val="clear" w:fill="FFFFFF"/>
          <w:lang w:val="en-US" w:eastAsia="zh-CN"/>
        </w:rPr>
        <w:t>分。本项目专项债券资金已全额到位，且资本金已按照绩效目标拨付，资金拨付严格按照合同约定付款周期执行。</w:t>
      </w:r>
    </w:p>
    <w:p w14:paraId="797038DD">
      <w:pPr>
        <w:pStyle w:val="2"/>
        <w:pageBreakBefore w:val="0"/>
        <w:wordWrap/>
        <w:overflowPunct/>
        <w:topLinePunct w:val="0"/>
        <w:bidi w:val="0"/>
        <w:jc w:val="both"/>
        <w:textAlignment w:val="baseline"/>
        <w:rPr>
          <w:rFonts w:hint="eastAsia" w:ascii="宋体" w:hAnsi="宋体"/>
        </w:rPr>
      </w:pPr>
      <w:bookmarkStart w:id="102" w:name="_Toc13577"/>
      <w:r>
        <w:rPr>
          <w:rFonts w:hint="eastAsia" w:ascii="宋体" w:hAnsi="宋体"/>
        </w:rPr>
        <w:t>（四）效益情况分析</w:t>
      </w:r>
      <w:bookmarkEnd w:id="102"/>
    </w:p>
    <w:p w14:paraId="640FCFE9">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both"/>
        <w:textAlignment w:val="baseline"/>
        <w:rPr>
          <w:rFonts w:hint="eastAsia" w:ascii="宋体" w:hAnsi="宋体" w:eastAsia="仿宋_GB2312" w:cs="仿宋_GB2312"/>
          <w:spacing w:val="6"/>
          <w:sz w:val="30"/>
          <w:szCs w:val="30"/>
        </w:rPr>
      </w:pPr>
      <w:r>
        <w:rPr>
          <w:rFonts w:hint="eastAsia" w:ascii="宋体" w:hAnsi="宋体" w:eastAsia="仿宋_GB2312" w:cs="仿宋_GB2312"/>
          <w:i w:val="0"/>
          <w:iCs w:val="0"/>
          <w:caps w:val="0"/>
          <w:color w:val="333333"/>
          <w:spacing w:val="6"/>
          <w:sz w:val="30"/>
          <w:szCs w:val="30"/>
          <w:shd w:val="clear" w:fill="FFFFFF"/>
        </w:rPr>
        <w:t>“效益”指标涉及二级指标</w:t>
      </w:r>
      <w:r>
        <w:rPr>
          <w:rFonts w:hint="eastAsia" w:ascii="宋体" w:hAnsi="宋体" w:eastAsia="仿宋_GB2312" w:cs="仿宋_GB2312"/>
          <w:i w:val="0"/>
          <w:iCs w:val="0"/>
          <w:caps w:val="0"/>
          <w:color w:val="333333"/>
          <w:spacing w:val="6"/>
          <w:sz w:val="30"/>
          <w:szCs w:val="30"/>
          <w:shd w:val="clear" w:fill="FFFFFF"/>
          <w:lang w:val="en-US" w:eastAsia="zh-CN"/>
        </w:rPr>
        <w:t>5</w:t>
      </w:r>
      <w:r>
        <w:rPr>
          <w:rFonts w:hint="eastAsia" w:ascii="宋体" w:hAnsi="宋体" w:eastAsia="仿宋_GB2312" w:cs="仿宋_GB2312"/>
          <w:i w:val="0"/>
          <w:iCs w:val="0"/>
          <w:caps w:val="0"/>
          <w:color w:val="333333"/>
          <w:spacing w:val="6"/>
          <w:sz w:val="30"/>
          <w:szCs w:val="30"/>
          <w:shd w:val="clear" w:fill="FFFFFF"/>
        </w:rPr>
        <w:t>个，三级指标</w:t>
      </w:r>
      <w:r>
        <w:rPr>
          <w:rFonts w:hint="eastAsia" w:ascii="宋体" w:hAnsi="宋体" w:eastAsia="仿宋_GB2312" w:cs="仿宋_GB2312"/>
          <w:i w:val="0"/>
          <w:iCs w:val="0"/>
          <w:caps w:val="0"/>
          <w:color w:val="333333"/>
          <w:spacing w:val="6"/>
          <w:sz w:val="30"/>
          <w:szCs w:val="30"/>
          <w:shd w:val="clear" w:fill="FFFFFF"/>
          <w:lang w:val="en-US" w:eastAsia="zh-CN"/>
        </w:rPr>
        <w:t>5</w:t>
      </w:r>
      <w:r>
        <w:rPr>
          <w:rFonts w:hint="eastAsia" w:ascii="宋体" w:hAnsi="宋体" w:eastAsia="仿宋_GB2312" w:cs="仿宋_GB2312"/>
          <w:i w:val="0"/>
          <w:iCs w:val="0"/>
          <w:caps w:val="0"/>
          <w:color w:val="333333"/>
          <w:spacing w:val="6"/>
          <w:sz w:val="30"/>
          <w:szCs w:val="30"/>
          <w:shd w:val="clear" w:fill="FFFFFF"/>
        </w:rPr>
        <w:t>个，总分值2</w:t>
      </w:r>
      <w:r>
        <w:rPr>
          <w:rFonts w:hint="eastAsia" w:ascii="宋体" w:hAnsi="宋体" w:cs="仿宋_GB2312"/>
          <w:i w:val="0"/>
          <w:iCs w:val="0"/>
          <w:caps w:val="0"/>
          <w:color w:val="333333"/>
          <w:spacing w:val="6"/>
          <w:sz w:val="30"/>
          <w:szCs w:val="30"/>
          <w:shd w:val="clear" w:fill="FFFFFF"/>
          <w:lang w:val="en-US" w:eastAsia="zh-CN"/>
        </w:rPr>
        <w:t>0</w:t>
      </w:r>
      <w:r>
        <w:rPr>
          <w:rFonts w:hint="eastAsia" w:ascii="宋体" w:hAnsi="宋体" w:eastAsia="仿宋_GB2312" w:cs="仿宋_GB2312"/>
          <w:i w:val="0"/>
          <w:iCs w:val="0"/>
          <w:caps w:val="0"/>
          <w:color w:val="333333"/>
          <w:spacing w:val="6"/>
          <w:sz w:val="30"/>
          <w:szCs w:val="30"/>
          <w:shd w:val="clear" w:fill="FFFFFF"/>
        </w:rPr>
        <w:t>分，得分</w:t>
      </w:r>
      <w:r>
        <w:rPr>
          <w:rFonts w:hint="eastAsia" w:ascii="宋体" w:hAnsi="宋体" w:eastAsia="仿宋_GB2312" w:cs="仿宋_GB2312"/>
          <w:i w:val="0"/>
          <w:iCs w:val="0"/>
          <w:caps w:val="0"/>
          <w:color w:val="333333"/>
          <w:spacing w:val="6"/>
          <w:sz w:val="30"/>
          <w:szCs w:val="30"/>
          <w:shd w:val="clear" w:fill="FFFFFF"/>
          <w:lang w:val="en-US" w:eastAsia="zh-CN"/>
        </w:rPr>
        <w:t>2</w:t>
      </w:r>
      <w:r>
        <w:rPr>
          <w:rFonts w:hint="eastAsia" w:ascii="宋体" w:hAnsi="宋体" w:cs="仿宋_GB2312"/>
          <w:i w:val="0"/>
          <w:iCs w:val="0"/>
          <w:caps w:val="0"/>
          <w:color w:val="333333"/>
          <w:spacing w:val="6"/>
          <w:sz w:val="30"/>
          <w:szCs w:val="30"/>
          <w:shd w:val="clear" w:fill="FFFFFF"/>
          <w:lang w:val="en-US" w:eastAsia="zh-CN"/>
        </w:rPr>
        <w:t>0</w:t>
      </w:r>
      <w:r>
        <w:rPr>
          <w:rFonts w:hint="eastAsia" w:ascii="宋体" w:hAnsi="宋体" w:eastAsia="仿宋_GB2312" w:cs="仿宋_GB2312"/>
          <w:i w:val="0"/>
          <w:iCs w:val="0"/>
          <w:caps w:val="0"/>
          <w:color w:val="333333"/>
          <w:spacing w:val="6"/>
          <w:sz w:val="30"/>
          <w:szCs w:val="30"/>
          <w:shd w:val="clear" w:fill="FFFFFF"/>
        </w:rPr>
        <w:t>分，得分率</w:t>
      </w:r>
      <w:r>
        <w:rPr>
          <w:rFonts w:hint="eastAsia" w:ascii="宋体" w:hAnsi="宋体" w:cs="仿宋_GB2312"/>
          <w:i w:val="0"/>
          <w:iCs w:val="0"/>
          <w:caps w:val="0"/>
          <w:color w:val="333333"/>
          <w:spacing w:val="6"/>
          <w:sz w:val="30"/>
          <w:szCs w:val="30"/>
          <w:shd w:val="clear" w:fill="FFFFFF"/>
          <w:lang w:val="en-US" w:eastAsia="zh-CN"/>
        </w:rPr>
        <w:t>100.00</w:t>
      </w:r>
      <w:r>
        <w:rPr>
          <w:rFonts w:hint="eastAsia" w:ascii="宋体" w:hAnsi="宋体" w:eastAsia="仿宋_GB2312" w:cs="仿宋_GB2312"/>
          <w:i w:val="0"/>
          <w:iCs w:val="0"/>
          <w:caps w:val="0"/>
          <w:color w:val="333333"/>
          <w:spacing w:val="6"/>
          <w:sz w:val="30"/>
          <w:szCs w:val="30"/>
          <w:shd w:val="clear" w:fill="FFFFFF"/>
        </w:rPr>
        <w:t>%。</w:t>
      </w:r>
    </w:p>
    <w:p w14:paraId="247C07B8">
      <w:pPr>
        <w:pStyle w:val="4"/>
        <w:pageBreakBefore w:val="0"/>
        <w:wordWrap/>
        <w:overflowPunct/>
        <w:topLinePunct w:val="0"/>
        <w:bidi w:val="0"/>
        <w:jc w:val="both"/>
        <w:textAlignment w:val="baseline"/>
        <w:rPr>
          <w:rFonts w:hint="eastAsia" w:ascii="宋体" w:hAnsi="宋体" w:eastAsia="仿宋_GB2312"/>
          <w:lang w:eastAsia="zh-CN"/>
        </w:rPr>
      </w:pPr>
      <w:bookmarkStart w:id="103" w:name="_Toc27842"/>
      <w:bookmarkStart w:id="104" w:name="_Toc10299"/>
      <w:bookmarkStart w:id="105" w:name="_Toc11466"/>
      <w:r>
        <w:rPr>
          <w:rFonts w:hint="eastAsia" w:ascii="宋体" w:hAnsi="宋体"/>
        </w:rPr>
        <w:t>1.社会效益</w:t>
      </w:r>
      <w:bookmarkEnd w:id="103"/>
      <w:r>
        <w:rPr>
          <w:rFonts w:hint="eastAsia" w:ascii="宋体" w:hAnsi="宋体"/>
          <w:lang w:eastAsia="zh-CN"/>
        </w:rPr>
        <w:t>（</w:t>
      </w:r>
      <w:r>
        <w:rPr>
          <w:rFonts w:hint="eastAsia" w:ascii="宋体" w:hAnsi="宋体"/>
          <w:lang w:val="en-US" w:eastAsia="zh-CN"/>
        </w:rPr>
        <w:t>满分4分，得分4分</w:t>
      </w:r>
      <w:r>
        <w:rPr>
          <w:rFonts w:hint="eastAsia" w:ascii="宋体" w:hAnsi="宋体"/>
          <w:lang w:eastAsia="zh-CN"/>
        </w:rPr>
        <w:t>）</w:t>
      </w:r>
      <w:bookmarkEnd w:id="104"/>
      <w:bookmarkEnd w:id="105"/>
    </w:p>
    <w:p w14:paraId="39E57A03">
      <w:pPr>
        <w:pStyle w:val="5"/>
        <w:pageBreakBefore w:val="0"/>
        <w:wordWrap/>
        <w:overflowPunct/>
        <w:topLinePunct w:val="0"/>
        <w:bidi w:val="0"/>
        <w:jc w:val="both"/>
        <w:textAlignment w:val="baseline"/>
        <w:rPr>
          <w:rFonts w:hint="eastAsia" w:ascii="宋体" w:hAnsi="宋体"/>
          <w:lang w:val="en-US" w:eastAsia="zh-CN"/>
        </w:rPr>
      </w:pPr>
      <w:r>
        <w:rPr>
          <w:rFonts w:hint="eastAsia" w:ascii="宋体" w:hAnsi="宋体"/>
          <w:lang w:val="en-US" w:eastAsia="zh-CN"/>
        </w:rPr>
        <w:t>社会影响度</w:t>
      </w:r>
    </w:p>
    <w:p w14:paraId="71E5C260">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shd w:val="clear" w:fill="FFFFFF"/>
        </w:rPr>
      </w:pPr>
      <w:r>
        <w:rPr>
          <w:rFonts w:hint="eastAsia" w:ascii="宋体" w:hAnsi="宋体" w:eastAsia="仿宋_GB2312" w:cs="仿宋_GB2312"/>
          <w:i w:val="0"/>
          <w:iCs w:val="0"/>
          <w:caps w:val="0"/>
          <w:color w:val="333333"/>
          <w:spacing w:val="6"/>
          <w:sz w:val="30"/>
          <w:szCs w:val="30"/>
          <w:shd w:val="clear" w:fill="FFFFFF"/>
        </w:rPr>
        <w:t>指标分值</w:t>
      </w:r>
      <w:r>
        <w:rPr>
          <w:rFonts w:hint="eastAsia" w:ascii="宋体" w:hAnsi="宋体"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rPr>
        <w:t>分，得</w:t>
      </w:r>
      <w:r>
        <w:rPr>
          <w:rFonts w:hint="eastAsia" w:ascii="宋体" w:hAnsi="宋体"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rPr>
        <w:t>分。本项目对完善宽城区医疗机构设置规划和宽城区医疗发展具有极大的推动作用，对促进宽城区的社会事业发展极为有利。本项目有较好的社会效益。加强公共医疗卫生基础设施建设，有利于满足人们对医疗保健、住院环境的更高要求，改善医疗环境和布局，发展宽城区医疗卫生事业；能提高宽城区人民群众基本医疗保健满足程度，有利于推进宽城区新型农村合作医疗试点工作。同时，能有效促进宽城区医疗卫生服务体系建设，完善服务功能、增强服务能力、提高服务质量、降低药品价格，使广大群众的疾病能及时得到医治，有地方看病，方便看病，而且价格实惠。</w:t>
      </w:r>
      <w:bookmarkStart w:id="106" w:name="_Toc24647"/>
      <w:bookmarkStart w:id="107" w:name="_Toc25589"/>
    </w:p>
    <w:p w14:paraId="0F56A397">
      <w:pPr>
        <w:pStyle w:val="4"/>
        <w:bidi w:val="0"/>
        <w:rPr>
          <w:rFonts w:hint="eastAsia" w:ascii="宋体" w:hAnsi="宋体"/>
          <w:lang w:eastAsia="zh-CN"/>
        </w:rPr>
      </w:pPr>
      <w:bookmarkStart w:id="108" w:name="_Toc845"/>
      <w:r>
        <w:rPr>
          <w:rFonts w:hint="eastAsia" w:ascii="宋体" w:hAnsi="宋体"/>
          <w:lang w:val="en-US" w:eastAsia="zh-CN"/>
        </w:rPr>
        <w:t>2.经济效益</w:t>
      </w:r>
      <w:bookmarkEnd w:id="106"/>
      <w:r>
        <w:rPr>
          <w:rFonts w:hint="eastAsia" w:ascii="宋体" w:hAnsi="宋体"/>
          <w:lang w:val="en-US" w:eastAsia="zh-CN"/>
        </w:rPr>
        <w:t>（满分4分，得分4分）</w:t>
      </w:r>
      <w:bookmarkEnd w:id="107"/>
      <w:bookmarkEnd w:id="108"/>
    </w:p>
    <w:p w14:paraId="74319890">
      <w:pPr>
        <w:pStyle w:val="5"/>
        <w:bidi w:val="0"/>
        <w:rPr>
          <w:rFonts w:hint="eastAsia" w:ascii="宋体" w:hAnsi="宋体"/>
          <w:lang w:val="en-US" w:eastAsia="zh-CN"/>
        </w:rPr>
      </w:pPr>
      <w:r>
        <w:rPr>
          <w:rFonts w:hint="eastAsia" w:ascii="宋体" w:hAnsi="宋体"/>
          <w:lang w:val="en-US" w:eastAsia="zh-CN"/>
        </w:rPr>
        <w:t>经济带动</w:t>
      </w:r>
    </w:p>
    <w:p w14:paraId="09D18E68">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624" w:firstLineChars="200"/>
        <w:jc w:val="left"/>
        <w:textAlignment w:val="baseline"/>
        <w:rPr>
          <w:rFonts w:hint="eastAsia" w:ascii="宋体" w:hAnsi="宋体" w:eastAsia="仿宋_GB2312" w:cs="仿宋_GB2312"/>
          <w:i w:val="0"/>
          <w:iCs w:val="0"/>
          <w:caps w:val="0"/>
          <w:color w:val="333333"/>
          <w:spacing w:val="6"/>
          <w:sz w:val="30"/>
          <w:szCs w:val="30"/>
          <w:shd w:val="clear" w:fill="FFFFFF"/>
          <w:lang w:eastAsia="zh-CN"/>
        </w:rPr>
      </w:pPr>
      <w:r>
        <w:rPr>
          <w:rFonts w:hint="eastAsia" w:ascii="宋体" w:hAnsi="宋体" w:eastAsia="仿宋_GB2312" w:cs="仿宋_GB2312"/>
          <w:i w:val="0"/>
          <w:iCs w:val="0"/>
          <w:caps w:val="0"/>
          <w:color w:val="333333"/>
          <w:spacing w:val="6"/>
          <w:sz w:val="30"/>
          <w:szCs w:val="30"/>
          <w:shd w:val="clear" w:fill="FFFFFF"/>
        </w:rPr>
        <w:t>指标分值</w:t>
      </w:r>
      <w:r>
        <w:rPr>
          <w:rFonts w:hint="eastAsia" w:ascii="宋体" w:hAnsi="宋体"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rPr>
        <w:t>分，得</w:t>
      </w:r>
      <w:r>
        <w:rPr>
          <w:rFonts w:hint="eastAsia" w:ascii="宋体" w:hAnsi="宋体"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rPr>
        <w:t>分。</w:t>
      </w:r>
      <w:r>
        <w:rPr>
          <w:rFonts w:hint="eastAsia" w:ascii="宋体" w:hAnsi="宋体" w:cs="仿宋_GB2312"/>
          <w:i w:val="0"/>
          <w:iCs w:val="0"/>
          <w:caps w:val="0"/>
          <w:color w:val="333333"/>
          <w:spacing w:val="6"/>
          <w:sz w:val="30"/>
          <w:szCs w:val="30"/>
          <w:shd w:val="clear" w:fill="FFFFFF"/>
          <w:lang w:val="en-US" w:eastAsia="zh-CN"/>
        </w:rPr>
        <w:t>根据</w:t>
      </w:r>
      <w:r>
        <w:rPr>
          <w:rFonts w:hint="eastAsia" w:ascii="宋体" w:hAnsi="宋体" w:cs="仿宋_GB2312"/>
          <w:sz w:val="30"/>
          <w:szCs w:val="30"/>
          <w:lang w:val="en-US" w:eastAsia="zh-CN"/>
        </w:rPr>
        <w:t>收益与融资平衡方案，</w:t>
      </w:r>
      <w:r>
        <w:rPr>
          <w:rFonts w:hint="eastAsia" w:ascii="宋体" w:hAnsi="宋体" w:eastAsia="仿宋_GB2312" w:cs="仿宋_GB2312"/>
          <w:sz w:val="30"/>
          <w:szCs w:val="30"/>
        </w:rPr>
        <w:t>本项目收入主要由医院收取的住院收入、门诊收入、财政补贴收入等组成。项目预测期实现门诊收入</w:t>
      </w:r>
      <w:r>
        <w:rPr>
          <w:rFonts w:hint="eastAsia" w:ascii="宋体" w:hAnsi="宋体" w:cs="仿宋_GB2312"/>
          <w:sz w:val="30"/>
          <w:szCs w:val="30"/>
          <w:lang w:val="en-US" w:eastAsia="zh-CN"/>
        </w:rPr>
        <w:t>118,738.73</w:t>
      </w:r>
      <w:r>
        <w:rPr>
          <w:rFonts w:hint="eastAsia" w:ascii="宋体" w:hAnsi="宋体" w:eastAsia="仿宋_GB2312" w:cs="仿宋_GB2312"/>
          <w:sz w:val="30"/>
          <w:szCs w:val="30"/>
        </w:rPr>
        <w:t>万元、住院收入</w:t>
      </w:r>
      <w:r>
        <w:rPr>
          <w:rFonts w:hint="eastAsia" w:ascii="宋体" w:hAnsi="宋体" w:cs="仿宋_GB2312"/>
          <w:sz w:val="30"/>
          <w:szCs w:val="30"/>
          <w:lang w:val="en-US" w:eastAsia="zh-CN"/>
        </w:rPr>
        <w:t>46,002.79</w:t>
      </w:r>
      <w:r>
        <w:rPr>
          <w:rFonts w:hint="eastAsia" w:ascii="宋体" w:hAnsi="宋体" w:eastAsia="仿宋_GB2312" w:cs="仿宋_GB2312"/>
          <w:sz w:val="30"/>
          <w:szCs w:val="30"/>
        </w:rPr>
        <w:t>万元，</w:t>
      </w:r>
      <w:r>
        <w:rPr>
          <w:rFonts w:hint="eastAsia" w:ascii="宋体" w:hAnsi="宋体" w:cs="仿宋_GB2312"/>
          <w:sz w:val="30"/>
          <w:szCs w:val="30"/>
          <w:lang w:val="en-US" w:eastAsia="zh-CN"/>
        </w:rPr>
        <w:t>财政补助收入91,233.33万元，</w:t>
      </w:r>
      <w:r>
        <w:rPr>
          <w:rFonts w:hint="eastAsia" w:ascii="宋体" w:hAnsi="宋体" w:eastAsia="仿宋_GB2312" w:cs="仿宋_GB2312"/>
          <w:sz w:val="30"/>
          <w:szCs w:val="30"/>
        </w:rPr>
        <w:t>合计总收入</w:t>
      </w:r>
      <w:r>
        <w:rPr>
          <w:rFonts w:hint="eastAsia" w:ascii="宋体" w:hAnsi="宋体" w:cs="仿宋_GB2312"/>
          <w:sz w:val="30"/>
          <w:szCs w:val="30"/>
          <w:lang w:val="en-US" w:eastAsia="zh-CN"/>
        </w:rPr>
        <w:t>255,974.85</w:t>
      </w:r>
      <w:r>
        <w:rPr>
          <w:rFonts w:hint="eastAsia" w:ascii="宋体" w:hAnsi="宋体" w:eastAsia="仿宋_GB2312" w:cs="仿宋_GB2312"/>
          <w:sz w:val="30"/>
          <w:szCs w:val="30"/>
        </w:rPr>
        <w:t>万元；运营成本合计</w:t>
      </w:r>
      <w:r>
        <w:rPr>
          <w:rFonts w:hint="eastAsia" w:ascii="宋体" w:hAnsi="宋体" w:cs="仿宋_GB2312"/>
          <w:sz w:val="30"/>
          <w:szCs w:val="30"/>
          <w:lang w:val="en-US" w:eastAsia="zh-CN"/>
        </w:rPr>
        <w:t>176,725.94</w:t>
      </w:r>
      <w:r>
        <w:rPr>
          <w:rFonts w:hint="eastAsia" w:ascii="宋体" w:hAnsi="宋体" w:eastAsia="仿宋_GB2312" w:cs="仿宋_GB2312"/>
          <w:sz w:val="30"/>
          <w:szCs w:val="30"/>
        </w:rPr>
        <w:t>万元</w:t>
      </w:r>
      <w:r>
        <w:rPr>
          <w:rFonts w:hint="eastAsia" w:ascii="宋体" w:hAnsi="宋体" w:cs="仿宋_GB2312"/>
          <w:sz w:val="30"/>
          <w:szCs w:val="30"/>
          <w:lang w:eastAsia="zh-CN"/>
        </w:rPr>
        <w:t>，</w:t>
      </w:r>
      <w:r>
        <w:rPr>
          <w:rFonts w:hint="eastAsia" w:ascii="宋体" w:hAnsi="宋体" w:eastAsia="仿宋_GB2312" w:cs="仿宋_GB2312"/>
          <w:sz w:val="30"/>
          <w:szCs w:val="30"/>
        </w:rPr>
        <w:t>项目收益</w:t>
      </w:r>
      <w:r>
        <w:rPr>
          <w:rFonts w:hint="eastAsia" w:ascii="宋体" w:hAnsi="宋体" w:cs="仿宋_GB2312"/>
          <w:sz w:val="30"/>
          <w:szCs w:val="30"/>
          <w:lang w:val="en-US" w:eastAsia="zh-CN"/>
        </w:rPr>
        <w:t>79,248.91</w:t>
      </w:r>
      <w:r>
        <w:rPr>
          <w:rFonts w:hint="eastAsia" w:ascii="宋体" w:hAnsi="宋体" w:eastAsia="仿宋_GB2312" w:cs="仿宋_GB2312"/>
          <w:sz w:val="30"/>
          <w:szCs w:val="30"/>
        </w:rPr>
        <w:t>万元</w:t>
      </w:r>
      <w:r>
        <w:rPr>
          <w:rFonts w:hint="eastAsia" w:ascii="宋体" w:hAnsi="宋体" w:cs="仿宋_GB2312"/>
          <w:sz w:val="30"/>
          <w:szCs w:val="30"/>
          <w:lang w:eastAsia="zh-CN"/>
        </w:rPr>
        <w:t>，</w:t>
      </w:r>
      <w:r>
        <w:rPr>
          <w:rFonts w:hint="eastAsia" w:ascii="宋体" w:hAnsi="宋体" w:cs="仿宋_GB2312"/>
          <w:sz w:val="30"/>
          <w:szCs w:val="30"/>
          <w:lang w:val="en-US" w:eastAsia="zh-CN"/>
        </w:rPr>
        <w:t>对当地经济有带动作用。本项目正处于建设期，需待项目进入运营期后，考量实际收益与计划收益的偏离程度</w:t>
      </w:r>
      <w:r>
        <w:rPr>
          <w:rFonts w:hint="eastAsia" w:ascii="宋体" w:hAnsi="宋体" w:cs="仿宋_GB2312"/>
          <w:sz w:val="30"/>
          <w:szCs w:val="30"/>
          <w:lang w:eastAsia="zh-CN"/>
        </w:rPr>
        <w:t>。</w:t>
      </w:r>
    </w:p>
    <w:p w14:paraId="14B7ABF9">
      <w:pPr>
        <w:pStyle w:val="4"/>
        <w:bidi w:val="0"/>
        <w:rPr>
          <w:rFonts w:hint="eastAsia" w:ascii="宋体" w:hAnsi="宋体"/>
          <w:lang w:val="en-US" w:eastAsia="zh-CN"/>
        </w:rPr>
      </w:pPr>
      <w:bookmarkStart w:id="109" w:name="_Toc3533"/>
      <w:bookmarkStart w:id="110" w:name="_Toc3803"/>
      <w:bookmarkStart w:id="111" w:name="_Toc14173"/>
      <w:r>
        <w:rPr>
          <w:rFonts w:hint="eastAsia" w:ascii="宋体" w:hAnsi="宋体"/>
          <w:lang w:val="en-US" w:eastAsia="zh-CN"/>
        </w:rPr>
        <w:t>3.生态效益</w:t>
      </w:r>
      <w:bookmarkEnd w:id="109"/>
      <w:r>
        <w:rPr>
          <w:rFonts w:hint="eastAsia" w:ascii="宋体" w:hAnsi="宋体"/>
          <w:lang w:val="en-US" w:eastAsia="zh-CN"/>
        </w:rPr>
        <w:t>（满分4分，得分4分）</w:t>
      </w:r>
      <w:bookmarkEnd w:id="110"/>
      <w:bookmarkEnd w:id="111"/>
    </w:p>
    <w:p w14:paraId="4D7756A1">
      <w:pPr>
        <w:pStyle w:val="5"/>
        <w:bidi w:val="0"/>
        <w:rPr>
          <w:rFonts w:hint="eastAsia" w:ascii="宋体" w:hAnsi="宋体"/>
          <w:lang w:val="en-US" w:eastAsia="zh-CN"/>
        </w:rPr>
      </w:pPr>
      <w:r>
        <w:rPr>
          <w:rFonts w:hint="eastAsia" w:ascii="宋体" w:hAnsi="宋体"/>
          <w:lang w:val="en-US" w:eastAsia="zh-CN"/>
        </w:rPr>
        <w:t>生态环保</w:t>
      </w:r>
    </w:p>
    <w:p w14:paraId="6F526481">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sz w:val="30"/>
          <w:szCs w:val="30"/>
          <w:lang w:val="en-US" w:eastAsia="zh-CN"/>
        </w:rPr>
      </w:pPr>
      <w:r>
        <w:rPr>
          <w:rFonts w:hint="eastAsia" w:ascii="宋体" w:hAnsi="宋体" w:eastAsia="仿宋_GB2312" w:cs="仿宋_GB2312"/>
          <w:i w:val="0"/>
          <w:iCs w:val="0"/>
          <w:caps w:val="0"/>
          <w:color w:val="333333"/>
          <w:spacing w:val="6"/>
          <w:sz w:val="30"/>
          <w:szCs w:val="30"/>
          <w:shd w:val="clear" w:fill="FFFFFF"/>
        </w:rPr>
        <w:t>指标分值</w:t>
      </w:r>
      <w:r>
        <w:rPr>
          <w:rFonts w:hint="eastAsia" w:ascii="宋体" w:hAnsi="宋体" w:eastAsia="仿宋_GB2312"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rPr>
        <w:t>分，得</w:t>
      </w:r>
      <w:r>
        <w:rPr>
          <w:rFonts w:hint="eastAsia" w:ascii="宋体" w:hAnsi="宋体" w:eastAsia="仿宋_GB2312"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rPr>
        <w:t>分。</w:t>
      </w:r>
      <w:r>
        <w:rPr>
          <w:rFonts w:hint="eastAsia" w:ascii="宋体" w:hAnsi="宋体" w:eastAsia="仿宋_GB2312" w:cs="仿宋_GB2312"/>
          <w:sz w:val="30"/>
          <w:szCs w:val="30"/>
          <w:lang w:val="en-US" w:eastAsia="zh-CN"/>
        </w:rPr>
        <w:t>本项目工程建设过程中，按照环保法规、标准进行环境保护和水土保护，达到环境影响评价要求，未发生环保处罚情况。</w:t>
      </w:r>
      <w:bookmarkStart w:id="112" w:name="_Toc18986"/>
      <w:bookmarkStart w:id="113" w:name="_Toc24976"/>
      <w:bookmarkStart w:id="114" w:name="_Toc6041"/>
    </w:p>
    <w:p w14:paraId="4D60255C">
      <w:pPr>
        <w:pStyle w:val="11"/>
        <w:keepNext w:val="0"/>
        <w:keepLines w:val="0"/>
        <w:pageBreakBefore w:val="0"/>
        <w:widowControl w:val="0"/>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00" w:firstLineChars="200"/>
        <w:jc w:val="left"/>
        <w:textAlignment w:val="baseline"/>
        <w:rPr>
          <w:rFonts w:hint="eastAsia" w:ascii="宋体" w:hAnsi="宋体" w:eastAsia="仿宋_GB2312" w:cs="Arial"/>
          <w:snapToGrid w:val="0"/>
          <w:color w:val="000000"/>
          <w:kern w:val="0"/>
          <w:sz w:val="30"/>
          <w:szCs w:val="21"/>
          <w:lang w:val="en-US" w:eastAsia="zh-CN"/>
        </w:rPr>
      </w:pPr>
      <w:r>
        <w:rPr>
          <w:rFonts w:hint="eastAsia" w:ascii="宋体" w:hAnsi="宋体" w:eastAsia="仿宋_GB2312" w:cs="Arial"/>
          <w:snapToGrid w:val="0"/>
          <w:color w:val="000000"/>
          <w:kern w:val="0"/>
          <w:sz w:val="30"/>
          <w:szCs w:val="21"/>
          <w:lang w:val="en-US" w:eastAsia="zh-CN"/>
        </w:rPr>
        <w:t>可持续影响</w:t>
      </w:r>
      <w:bookmarkEnd w:id="112"/>
      <w:r>
        <w:rPr>
          <w:rFonts w:hint="eastAsia" w:ascii="宋体" w:hAnsi="宋体" w:eastAsia="仿宋_GB2312" w:cs="Arial"/>
          <w:snapToGrid w:val="0"/>
          <w:color w:val="000000"/>
          <w:kern w:val="0"/>
          <w:sz w:val="30"/>
          <w:szCs w:val="21"/>
          <w:lang w:val="en-US" w:eastAsia="zh-CN"/>
        </w:rPr>
        <w:t>（满分4分，得分4分）</w:t>
      </w:r>
      <w:bookmarkEnd w:id="113"/>
      <w:bookmarkEnd w:id="114"/>
    </w:p>
    <w:p w14:paraId="1F8C0452">
      <w:pPr>
        <w:pStyle w:val="1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200" w:right="0" w:rightChars="0"/>
        <w:jc w:val="left"/>
        <w:textAlignment w:val="baseline"/>
        <w:rPr>
          <w:rFonts w:hint="eastAsia" w:ascii="宋体" w:hAnsi="宋体" w:eastAsia="仿宋_GB2312" w:cs="Arial"/>
          <w:snapToGrid w:val="0"/>
          <w:color w:val="000000"/>
          <w:kern w:val="0"/>
          <w:sz w:val="30"/>
          <w:szCs w:val="21"/>
          <w:lang w:val="en-US" w:eastAsia="zh-CN"/>
        </w:rPr>
      </w:pPr>
      <w:r>
        <w:rPr>
          <w:rFonts w:hint="eastAsia" w:ascii="宋体" w:hAnsi="宋体" w:eastAsia="仿宋_GB2312" w:cs="Arial"/>
          <w:snapToGrid w:val="0"/>
          <w:color w:val="000000"/>
          <w:kern w:val="0"/>
          <w:sz w:val="30"/>
          <w:szCs w:val="21"/>
          <w:lang w:val="en-US" w:eastAsia="zh-CN"/>
        </w:rPr>
        <w:t>可持续运营能力</w:t>
      </w:r>
    </w:p>
    <w:p w14:paraId="3161EDC3">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color w:val="333333"/>
          <w:spacing w:val="6"/>
          <w:sz w:val="30"/>
          <w:szCs w:val="30"/>
          <w:shd w:val="clear" w:fill="FFFFFF"/>
          <w:lang w:val="en-US" w:eastAsia="zh-CN"/>
        </w:rPr>
      </w:pPr>
      <w:r>
        <w:rPr>
          <w:rFonts w:hint="eastAsia" w:ascii="宋体" w:hAnsi="宋体" w:eastAsia="仿宋_GB2312" w:cs="仿宋_GB2312"/>
          <w:i w:val="0"/>
          <w:iCs w:val="0"/>
          <w:caps w:val="0"/>
          <w:color w:val="333333"/>
          <w:spacing w:val="6"/>
          <w:sz w:val="30"/>
          <w:szCs w:val="30"/>
          <w:shd w:val="clear" w:fill="FFFFFF"/>
        </w:rPr>
        <w:t>指标分值</w:t>
      </w:r>
      <w:r>
        <w:rPr>
          <w:rFonts w:hint="eastAsia" w:ascii="宋体" w:hAnsi="宋体" w:eastAsia="仿宋_GB2312"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rPr>
        <w:t>分，得</w:t>
      </w:r>
      <w:r>
        <w:rPr>
          <w:rFonts w:hint="eastAsia" w:ascii="宋体" w:hAnsi="宋体" w:cs="仿宋_GB2312"/>
          <w:i w:val="0"/>
          <w:iCs w:val="0"/>
          <w:caps w:val="0"/>
          <w:color w:val="333333"/>
          <w:spacing w:val="6"/>
          <w:sz w:val="30"/>
          <w:szCs w:val="30"/>
          <w:shd w:val="clear" w:fill="FFFFFF"/>
          <w:lang w:val="en-US" w:eastAsia="zh-CN"/>
        </w:rPr>
        <w:t>4</w:t>
      </w:r>
      <w:r>
        <w:rPr>
          <w:rFonts w:hint="eastAsia" w:ascii="宋体" w:hAnsi="宋体" w:eastAsia="仿宋_GB2312" w:cs="仿宋_GB2312"/>
          <w:i w:val="0"/>
          <w:iCs w:val="0"/>
          <w:caps w:val="0"/>
          <w:color w:val="333333"/>
          <w:spacing w:val="6"/>
          <w:sz w:val="30"/>
          <w:szCs w:val="30"/>
          <w:shd w:val="clear" w:fill="FFFFFF"/>
        </w:rPr>
        <w:t>分。</w:t>
      </w:r>
      <w:r>
        <w:rPr>
          <w:rFonts w:hint="eastAsia" w:ascii="宋体" w:hAnsi="宋体" w:cs="仿宋_GB2312"/>
          <w:i w:val="0"/>
          <w:iCs w:val="0"/>
          <w:caps w:val="0"/>
          <w:color w:val="333333"/>
          <w:spacing w:val="6"/>
          <w:sz w:val="30"/>
          <w:szCs w:val="30"/>
          <w:shd w:val="clear" w:fill="FFFFFF"/>
          <w:lang w:val="en-US" w:eastAsia="zh-CN"/>
        </w:rPr>
        <w:t>在符合国家重大区域发展战略情况下，根据可研报告，本项目建筑物</w:t>
      </w:r>
      <w:r>
        <w:rPr>
          <w:rFonts w:hint="eastAsia" w:ascii="宋体" w:hAnsi="宋体" w:eastAsia="仿宋_GB2312" w:cs="仿宋_GB2312"/>
          <w:i w:val="0"/>
          <w:iCs w:val="0"/>
          <w:caps w:val="0"/>
          <w:color w:val="333333"/>
          <w:spacing w:val="6"/>
          <w:sz w:val="30"/>
          <w:szCs w:val="30"/>
          <w:shd w:val="clear" w:fill="FFFFFF"/>
        </w:rPr>
        <w:t>结构设计使用年限为50年</w:t>
      </w:r>
      <w:r>
        <w:rPr>
          <w:rFonts w:hint="eastAsia" w:ascii="宋体" w:hAnsi="宋体" w:cs="仿宋_GB2312"/>
          <w:i w:val="0"/>
          <w:iCs w:val="0"/>
          <w:caps w:val="0"/>
          <w:color w:val="333333"/>
          <w:spacing w:val="6"/>
          <w:sz w:val="30"/>
          <w:szCs w:val="30"/>
          <w:shd w:val="clear" w:fill="FFFFFF"/>
          <w:lang w:eastAsia="zh-CN"/>
        </w:rPr>
        <w:t>，</w:t>
      </w:r>
      <w:r>
        <w:rPr>
          <w:rFonts w:hint="eastAsia" w:ascii="宋体" w:hAnsi="宋体" w:cs="仿宋_GB2312"/>
          <w:i w:val="0"/>
          <w:iCs w:val="0"/>
          <w:caps w:val="0"/>
          <w:color w:val="333333"/>
          <w:spacing w:val="6"/>
          <w:sz w:val="30"/>
          <w:szCs w:val="30"/>
          <w:shd w:val="clear" w:fill="FFFFFF"/>
          <w:lang w:val="en-US" w:eastAsia="zh-CN"/>
        </w:rPr>
        <w:t>目前正在建设期，但</w:t>
      </w:r>
      <w:r>
        <w:rPr>
          <w:rFonts w:hint="eastAsia" w:ascii="宋体" w:hAnsi="宋体" w:eastAsia="仿宋_GB2312" w:cs="仿宋_GB2312"/>
          <w:i w:val="0"/>
          <w:iCs w:val="0"/>
          <w:caps w:val="0"/>
          <w:color w:val="333333"/>
          <w:spacing w:val="6"/>
          <w:sz w:val="30"/>
          <w:szCs w:val="30"/>
          <w:shd w:val="clear" w:fill="FFFFFF"/>
        </w:rPr>
        <w:t>相关性显著、绩效可持续性较强、实施方案基本有效、预期绩效具有可持续性，且专项债券资金投入风险基本可控</w:t>
      </w:r>
      <w:r>
        <w:rPr>
          <w:rFonts w:hint="eastAsia" w:ascii="宋体" w:hAnsi="宋体" w:eastAsia="仿宋_GB2312" w:cs="仿宋_GB2312"/>
          <w:i w:val="0"/>
          <w:iCs w:val="0"/>
          <w:caps w:val="0"/>
          <w:color w:val="333333"/>
          <w:spacing w:val="6"/>
          <w:sz w:val="30"/>
          <w:szCs w:val="30"/>
          <w:highlight w:val="none"/>
          <w:shd w:val="clear" w:fill="FFFFFF"/>
          <w:lang w:val="en-US" w:eastAsia="zh-CN"/>
        </w:rPr>
        <w:t>，</w:t>
      </w:r>
      <w:r>
        <w:rPr>
          <w:rFonts w:hint="eastAsia" w:ascii="宋体" w:hAnsi="宋体" w:eastAsia="仿宋_GB2312" w:cs="仿宋_GB2312"/>
          <w:i w:val="0"/>
          <w:iCs w:val="0"/>
          <w:caps w:val="0"/>
          <w:color w:val="333333"/>
          <w:spacing w:val="6"/>
          <w:sz w:val="30"/>
          <w:szCs w:val="30"/>
          <w:shd w:val="clear" w:fill="FFFFFF"/>
          <w:lang w:val="en-US" w:eastAsia="zh-CN"/>
        </w:rPr>
        <w:t>通过专项债券资金筹集及自筹资金支</w:t>
      </w:r>
      <w:r>
        <w:rPr>
          <w:rFonts w:hint="eastAsia" w:ascii="宋体" w:hAnsi="宋体" w:eastAsia="仿宋_GB2312" w:cs="仿宋_GB2312"/>
          <w:i w:val="0"/>
          <w:iCs w:val="0"/>
          <w:caps w:val="0"/>
          <w:color w:val="333333"/>
          <w:spacing w:val="6"/>
          <w:sz w:val="30"/>
          <w:szCs w:val="30"/>
          <w:highlight w:val="none"/>
          <w:shd w:val="clear" w:fill="FFFFFF"/>
          <w:lang w:val="en-US" w:eastAsia="zh-CN"/>
        </w:rPr>
        <w:t>持，可保证项目后续建设的可持续性，</w:t>
      </w:r>
      <w:r>
        <w:rPr>
          <w:rFonts w:hint="eastAsia" w:ascii="宋体" w:hAnsi="宋体" w:cs="仿宋_GB2312"/>
          <w:i w:val="0"/>
          <w:iCs w:val="0"/>
          <w:caps w:val="0"/>
          <w:color w:val="333333"/>
          <w:spacing w:val="6"/>
          <w:sz w:val="30"/>
          <w:szCs w:val="30"/>
          <w:highlight w:val="none"/>
          <w:shd w:val="clear" w:fill="FFFFFF"/>
          <w:lang w:val="en-US" w:eastAsia="zh-CN"/>
        </w:rPr>
        <w:t>同时设立了专门的管理部门，具备可持续运营能力。</w:t>
      </w:r>
    </w:p>
    <w:p w14:paraId="797E77A3">
      <w:pPr>
        <w:pStyle w:val="4"/>
        <w:pageBreakBefore w:val="0"/>
        <w:wordWrap/>
        <w:overflowPunct/>
        <w:topLinePunct w:val="0"/>
        <w:bidi w:val="0"/>
        <w:spacing w:line="360" w:lineRule="auto"/>
        <w:ind w:firstLine="600" w:firstLineChars="200"/>
        <w:textAlignment w:val="baseline"/>
        <w:rPr>
          <w:rFonts w:hint="eastAsia" w:ascii="宋体" w:hAnsi="宋体" w:eastAsia="仿宋_GB2312"/>
          <w:lang w:eastAsia="zh-CN"/>
        </w:rPr>
      </w:pPr>
      <w:bookmarkStart w:id="115" w:name="_Toc28343"/>
      <w:bookmarkStart w:id="116" w:name="_Toc13822"/>
      <w:bookmarkStart w:id="117" w:name="_Toc2110"/>
      <w:r>
        <w:rPr>
          <w:rFonts w:hint="eastAsia" w:ascii="宋体" w:hAnsi="宋体"/>
          <w:lang w:val="en-US" w:eastAsia="zh-CN"/>
        </w:rPr>
        <w:t>5</w:t>
      </w:r>
      <w:r>
        <w:rPr>
          <w:rFonts w:hint="eastAsia" w:ascii="宋体" w:hAnsi="宋体"/>
        </w:rPr>
        <w:t>.满意度</w:t>
      </w:r>
      <w:bookmarkEnd w:id="115"/>
      <w:r>
        <w:rPr>
          <w:rFonts w:hint="eastAsia" w:ascii="宋体" w:hAnsi="宋体"/>
          <w:lang w:eastAsia="zh-CN"/>
        </w:rPr>
        <w:t>（</w:t>
      </w:r>
      <w:r>
        <w:rPr>
          <w:rFonts w:hint="eastAsia" w:ascii="宋体" w:hAnsi="宋体"/>
          <w:lang w:val="en-US" w:eastAsia="zh-CN"/>
        </w:rPr>
        <w:t>满分4分，得分4分</w:t>
      </w:r>
      <w:r>
        <w:rPr>
          <w:rFonts w:hint="eastAsia" w:ascii="宋体" w:hAnsi="宋体"/>
          <w:lang w:eastAsia="zh-CN"/>
        </w:rPr>
        <w:t>）</w:t>
      </w:r>
      <w:bookmarkEnd w:id="116"/>
      <w:bookmarkEnd w:id="117"/>
    </w:p>
    <w:p w14:paraId="1D516E7C">
      <w:pPr>
        <w:pStyle w:val="5"/>
        <w:pageBreakBefore w:val="0"/>
        <w:wordWrap/>
        <w:overflowPunct/>
        <w:topLinePunct w:val="0"/>
        <w:bidi w:val="0"/>
        <w:spacing w:line="360" w:lineRule="auto"/>
        <w:ind w:firstLine="624" w:firstLineChars="200"/>
        <w:textAlignment w:val="baseline"/>
        <w:rPr>
          <w:rFonts w:hint="eastAsia" w:ascii="宋体" w:hAnsi="宋体" w:eastAsia="仿宋_GB2312" w:cs="仿宋_GB2312"/>
          <w:i w:val="0"/>
          <w:iCs w:val="0"/>
          <w:caps w:val="0"/>
          <w:snapToGrid w:val="0"/>
          <w:color w:val="333333"/>
          <w:spacing w:val="6"/>
          <w:kern w:val="0"/>
          <w:sz w:val="30"/>
          <w:szCs w:val="30"/>
          <w:shd w:val="clear" w:fill="FFFFFF"/>
          <w:lang w:val="en-US" w:eastAsia="zh-CN" w:bidi="ar"/>
        </w:rPr>
      </w:pPr>
      <w:r>
        <w:rPr>
          <w:rFonts w:hint="eastAsia" w:ascii="宋体" w:hAnsi="宋体" w:eastAsia="仿宋_GB2312" w:cs="仿宋_GB2312"/>
          <w:i w:val="0"/>
          <w:iCs w:val="0"/>
          <w:caps w:val="0"/>
          <w:snapToGrid w:val="0"/>
          <w:color w:val="333333"/>
          <w:spacing w:val="6"/>
          <w:kern w:val="0"/>
          <w:sz w:val="30"/>
          <w:szCs w:val="30"/>
          <w:shd w:val="clear" w:fill="FFFFFF"/>
          <w:lang w:val="en-US" w:eastAsia="zh-CN" w:bidi="ar"/>
        </w:rPr>
        <w:t>受益对象满意度</w:t>
      </w:r>
    </w:p>
    <w:p w14:paraId="77907091">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24" w:firstLineChars="200"/>
        <w:jc w:val="left"/>
        <w:textAlignment w:val="baseline"/>
        <w:rPr>
          <w:rFonts w:hint="eastAsia" w:ascii="宋体" w:hAnsi="宋体" w:eastAsia="仿宋_GB2312" w:cs="仿宋_GB2312"/>
          <w:i w:val="0"/>
          <w:iCs w:val="0"/>
          <w:caps w:val="0"/>
          <w:snapToGrid w:val="0"/>
          <w:color w:val="333333"/>
          <w:spacing w:val="6"/>
          <w:kern w:val="0"/>
          <w:sz w:val="30"/>
          <w:szCs w:val="30"/>
          <w:shd w:val="clear" w:fill="FFFFFF"/>
          <w:lang w:val="en-US" w:eastAsia="zh-CN" w:bidi="ar"/>
        </w:rPr>
      </w:pPr>
      <w:r>
        <w:rPr>
          <w:rFonts w:hint="eastAsia" w:ascii="宋体" w:hAnsi="宋体" w:eastAsia="仿宋_GB2312" w:cs="仿宋_GB2312"/>
          <w:i w:val="0"/>
          <w:iCs w:val="0"/>
          <w:caps w:val="0"/>
          <w:snapToGrid w:val="0"/>
          <w:color w:val="333333"/>
          <w:spacing w:val="6"/>
          <w:kern w:val="0"/>
          <w:sz w:val="30"/>
          <w:szCs w:val="30"/>
          <w:shd w:val="clear" w:fill="FFFFFF"/>
          <w:lang w:val="en-US" w:eastAsia="zh-CN" w:bidi="ar"/>
        </w:rPr>
        <w:t>指标分值4分，得4分。依据本次发放的问卷调查，本项目属地政府对建设进度、质量比较满意。专项债券项目施工过程中，各参建单位对工程款按合同拨付程度满意。社会公众对项目的建立也比较</w:t>
      </w:r>
      <w:r>
        <w:rPr>
          <w:rFonts w:hint="eastAsia" w:ascii="宋体" w:hAnsi="宋体" w:cs="仿宋_GB2312"/>
          <w:i w:val="0"/>
          <w:iCs w:val="0"/>
          <w:caps w:val="0"/>
          <w:snapToGrid w:val="0"/>
          <w:color w:val="333333"/>
          <w:spacing w:val="6"/>
          <w:kern w:val="0"/>
          <w:sz w:val="30"/>
          <w:szCs w:val="30"/>
          <w:shd w:val="clear" w:fill="FFFFFF"/>
          <w:lang w:val="en-US" w:eastAsia="zh-CN" w:bidi="ar"/>
        </w:rPr>
        <w:t>认同</w:t>
      </w:r>
      <w:r>
        <w:rPr>
          <w:rFonts w:hint="eastAsia" w:ascii="宋体" w:hAnsi="宋体" w:eastAsia="仿宋_GB2312" w:cs="仿宋_GB2312"/>
          <w:i w:val="0"/>
          <w:iCs w:val="0"/>
          <w:caps w:val="0"/>
          <w:snapToGrid w:val="0"/>
          <w:color w:val="333333"/>
          <w:spacing w:val="6"/>
          <w:kern w:val="0"/>
          <w:sz w:val="30"/>
          <w:szCs w:val="30"/>
          <w:shd w:val="clear" w:fill="FFFFFF"/>
          <w:lang w:val="en-US" w:eastAsia="zh-CN" w:bidi="ar"/>
        </w:rPr>
        <w:t>，方便周边群众就医，大大提高了就医效率。</w:t>
      </w:r>
    </w:p>
    <w:p w14:paraId="78AF320D">
      <w:pPr>
        <w:pStyle w:val="3"/>
        <w:pageBreakBefore w:val="0"/>
        <w:numPr>
          <w:ilvl w:val="0"/>
          <w:numId w:val="3"/>
        </w:numPr>
        <w:wordWrap/>
        <w:overflowPunct/>
        <w:topLinePunct w:val="0"/>
        <w:bidi w:val="0"/>
        <w:spacing w:line="360" w:lineRule="auto"/>
        <w:ind w:firstLine="602" w:firstLineChars="200"/>
        <w:textAlignment w:val="baseline"/>
        <w:rPr>
          <w:rFonts w:hint="eastAsia" w:ascii="宋体" w:hAnsi="宋体"/>
        </w:rPr>
      </w:pPr>
      <w:bookmarkStart w:id="118" w:name="_Toc31508"/>
      <w:r>
        <w:rPr>
          <w:rFonts w:hint="eastAsia" w:ascii="宋体" w:hAnsi="宋体"/>
        </w:rPr>
        <w:t>存在的问题及原因分析</w:t>
      </w:r>
      <w:bookmarkEnd w:id="118"/>
    </w:p>
    <w:p w14:paraId="6FCC0D1E">
      <w:pPr>
        <w:pStyle w:val="2"/>
        <w:pageBreakBefore w:val="0"/>
        <w:wordWrap/>
        <w:overflowPunct/>
        <w:topLinePunct w:val="0"/>
        <w:bidi w:val="0"/>
        <w:spacing w:line="360" w:lineRule="auto"/>
        <w:ind w:firstLine="602" w:firstLineChars="200"/>
        <w:textAlignment w:val="baseline"/>
        <w:rPr>
          <w:rFonts w:hint="default" w:ascii="宋体" w:hAnsi="宋体" w:eastAsia="仿宋_GB2312"/>
          <w:lang w:val="en-US" w:eastAsia="zh-CN"/>
        </w:rPr>
      </w:pPr>
      <w:bookmarkStart w:id="119" w:name="_Toc10726"/>
      <w:r>
        <w:rPr>
          <w:rFonts w:hint="eastAsia" w:ascii="宋体" w:hAnsi="宋体"/>
          <w:lang w:eastAsia="zh-CN"/>
        </w:rPr>
        <w:t>（</w:t>
      </w:r>
      <w:r>
        <w:rPr>
          <w:rFonts w:hint="eastAsia" w:ascii="宋体" w:hAnsi="宋体"/>
          <w:lang w:val="en-US" w:eastAsia="zh-CN"/>
        </w:rPr>
        <w:t>一</w:t>
      </w:r>
      <w:r>
        <w:rPr>
          <w:rFonts w:hint="eastAsia" w:ascii="宋体" w:hAnsi="宋体"/>
          <w:lang w:eastAsia="zh-CN"/>
        </w:rPr>
        <w:t>）</w:t>
      </w:r>
      <w:r>
        <w:rPr>
          <w:rFonts w:hint="eastAsia" w:ascii="宋体" w:hAnsi="宋体"/>
          <w:lang w:val="en-US" w:eastAsia="zh-CN"/>
        </w:rPr>
        <w:t>专项债券资金管理制度不够细化</w:t>
      </w:r>
      <w:bookmarkEnd w:id="119"/>
    </w:p>
    <w:p w14:paraId="5EAF3405">
      <w:pPr>
        <w:pageBreakBefore w:val="0"/>
        <w:wordWrap/>
        <w:overflowPunct/>
        <w:topLinePunct w:val="0"/>
        <w:bidi w:val="0"/>
        <w:spacing w:line="360" w:lineRule="auto"/>
        <w:ind w:firstLine="624" w:firstLineChars="200"/>
        <w:textAlignment w:val="baseline"/>
        <w:rPr>
          <w:rFonts w:hint="default" w:ascii="宋体" w:hAnsi="宋体" w:eastAsia="仿宋_GB2312" w:cs="仿宋_GB2312"/>
          <w:i w:val="0"/>
          <w:iCs w:val="0"/>
          <w:caps w:val="0"/>
          <w:snapToGrid w:val="0"/>
          <w:color w:val="333333"/>
          <w:spacing w:val="6"/>
          <w:kern w:val="0"/>
          <w:sz w:val="30"/>
          <w:szCs w:val="30"/>
          <w:shd w:val="clear" w:fill="FFFFFF"/>
          <w:lang w:val="en-US" w:eastAsia="zh-CN" w:bidi="ar"/>
        </w:rPr>
      </w:pPr>
      <w:bookmarkStart w:id="120" w:name="_bookmark26"/>
      <w:bookmarkEnd w:id="120"/>
      <w:bookmarkStart w:id="121" w:name="_bookmark16"/>
      <w:bookmarkEnd w:id="121"/>
      <w:r>
        <w:rPr>
          <w:rFonts w:hint="eastAsia" w:ascii="宋体" w:hAnsi="宋体" w:cs="仿宋_GB2312"/>
          <w:i w:val="0"/>
          <w:iCs w:val="0"/>
          <w:caps w:val="0"/>
          <w:snapToGrid w:val="0"/>
          <w:color w:val="333333"/>
          <w:spacing w:val="6"/>
          <w:kern w:val="0"/>
          <w:sz w:val="30"/>
          <w:szCs w:val="30"/>
          <w:shd w:val="clear" w:fill="FFFFFF"/>
          <w:lang w:val="en-US" w:eastAsia="zh-CN" w:bidi="ar"/>
        </w:rPr>
        <w:t>项目实施单位制定了专项债券财务管理制度，但是制度内容过于宽泛，不够细化，可操作性差，同时未制定业务相关管理制度。</w:t>
      </w:r>
    </w:p>
    <w:p w14:paraId="60AF9AA4">
      <w:pPr>
        <w:pStyle w:val="2"/>
        <w:bidi w:val="0"/>
        <w:rPr>
          <w:rFonts w:hint="default" w:ascii="宋体" w:hAnsi="宋体"/>
          <w:highlight w:val="none"/>
          <w:lang w:val="en-US" w:eastAsia="zh-CN"/>
        </w:rPr>
      </w:pPr>
      <w:bookmarkStart w:id="122" w:name="_Toc5024"/>
      <w:r>
        <w:rPr>
          <w:rFonts w:hint="eastAsia" w:ascii="宋体" w:hAnsi="宋体"/>
          <w:highlight w:val="none"/>
          <w:lang w:eastAsia="zh-CN"/>
        </w:rPr>
        <w:t>（</w:t>
      </w:r>
      <w:r>
        <w:rPr>
          <w:rFonts w:hint="eastAsia" w:ascii="宋体" w:hAnsi="宋体"/>
          <w:highlight w:val="none"/>
          <w:lang w:val="en-US" w:eastAsia="zh-CN"/>
        </w:rPr>
        <w:t>二</w:t>
      </w:r>
      <w:r>
        <w:rPr>
          <w:rFonts w:hint="eastAsia" w:ascii="宋体" w:hAnsi="宋体"/>
          <w:highlight w:val="none"/>
          <w:lang w:eastAsia="zh-CN"/>
        </w:rPr>
        <w:t>）</w:t>
      </w:r>
      <w:r>
        <w:rPr>
          <w:rFonts w:hint="eastAsia" w:ascii="宋体" w:hAnsi="宋体"/>
          <w:highlight w:val="none"/>
          <w:lang w:val="en-US" w:eastAsia="zh-CN"/>
        </w:rPr>
        <w:t>项目建设过程中合同签订程序不够规范</w:t>
      </w:r>
      <w:bookmarkEnd w:id="122"/>
    </w:p>
    <w:p w14:paraId="6790F3C8">
      <w:pPr>
        <w:bidi w:val="0"/>
        <w:rPr>
          <w:rFonts w:hint="default" w:ascii="宋体" w:hAnsi="宋体" w:eastAsia="仿宋_GB2312" w:cs="仿宋_GB2312"/>
          <w:i w:val="0"/>
          <w:iCs w:val="0"/>
          <w:caps w:val="0"/>
          <w:snapToGrid w:val="0"/>
          <w:color w:val="333333"/>
          <w:spacing w:val="6"/>
          <w:kern w:val="0"/>
          <w:sz w:val="30"/>
          <w:szCs w:val="30"/>
          <w:highlight w:val="none"/>
          <w:shd w:val="clear" w:fill="FFFFFF"/>
          <w:lang w:val="en-US" w:eastAsia="zh-CN" w:bidi="ar"/>
        </w:rPr>
      </w:pP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本项目中</w:t>
      </w:r>
      <w:r>
        <w:rPr>
          <w:rFonts w:hint="eastAsia" w:ascii="宋体" w:hAnsi="宋体" w:eastAsia="仿宋_GB2312" w:cs="仿宋_GB2312"/>
          <w:i w:val="0"/>
          <w:iCs w:val="0"/>
          <w:caps w:val="0"/>
          <w:color w:val="333333"/>
          <w:spacing w:val="6"/>
          <w:sz w:val="30"/>
          <w:szCs w:val="30"/>
          <w:highlight w:val="none"/>
          <w:shd w:val="clear" w:fill="FFFFFF"/>
        </w:rPr>
        <w:t>吉林省钜恒工程项目管理有限公司</w:t>
      </w:r>
      <w:r>
        <w:rPr>
          <w:rFonts w:hint="eastAsia" w:ascii="宋体" w:hAnsi="宋体" w:cs="仿宋_GB2312"/>
          <w:i w:val="0"/>
          <w:iCs w:val="0"/>
          <w:caps w:val="0"/>
          <w:color w:val="333333"/>
          <w:spacing w:val="6"/>
          <w:sz w:val="30"/>
          <w:szCs w:val="30"/>
          <w:highlight w:val="none"/>
          <w:shd w:val="clear" w:fill="FFFFFF"/>
          <w:lang w:val="en-US" w:eastAsia="zh-CN"/>
        </w:rPr>
        <w:t>于2024年1月16日中标本项目红线内配电工程监理服务，于2024年3月14日签订合同，超出中标通知书日期30天，合同签订</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程序不够规范。</w:t>
      </w:r>
    </w:p>
    <w:p w14:paraId="472C9CAA">
      <w:pPr>
        <w:pStyle w:val="3"/>
        <w:keepNext/>
        <w:pageBreakBefore w:val="0"/>
        <w:widowControl w:val="0"/>
        <w:kinsoku w:val="0"/>
        <w:wordWrap/>
        <w:overflowPunct/>
        <w:topLinePunct w:val="0"/>
        <w:autoSpaceDE w:val="0"/>
        <w:autoSpaceDN w:val="0"/>
        <w:bidi w:val="0"/>
        <w:adjustRightInd w:val="0"/>
        <w:snapToGrid w:val="0"/>
        <w:textAlignment w:val="baseline"/>
        <w:rPr>
          <w:rFonts w:hint="eastAsia" w:ascii="宋体" w:hAnsi="宋体"/>
          <w:lang w:eastAsia="zh-CN"/>
        </w:rPr>
      </w:pPr>
      <w:bookmarkStart w:id="123" w:name="_bookmark20"/>
      <w:bookmarkEnd w:id="123"/>
      <w:bookmarkStart w:id="124" w:name="_bookmark18"/>
      <w:bookmarkEnd w:id="124"/>
      <w:bookmarkStart w:id="125" w:name="_bookmark21"/>
      <w:bookmarkEnd w:id="125"/>
      <w:bookmarkStart w:id="126" w:name="_Toc3923"/>
      <w:r>
        <w:rPr>
          <w:rFonts w:hint="eastAsia" w:ascii="宋体" w:hAnsi="宋体"/>
        </w:rPr>
        <w:t>六、有关建议</w:t>
      </w:r>
      <w:bookmarkEnd w:id="126"/>
    </w:p>
    <w:p w14:paraId="4F26704F">
      <w:pPr>
        <w:pStyle w:val="2"/>
        <w:keepNext/>
        <w:pageBreakBefore w:val="0"/>
        <w:widowControl w:val="0"/>
        <w:kinsoku w:val="0"/>
        <w:wordWrap/>
        <w:overflowPunct/>
        <w:topLinePunct w:val="0"/>
        <w:autoSpaceDE w:val="0"/>
        <w:autoSpaceDN w:val="0"/>
        <w:bidi w:val="0"/>
        <w:adjustRightInd w:val="0"/>
        <w:snapToGrid w:val="0"/>
        <w:textAlignment w:val="baseline"/>
        <w:rPr>
          <w:rFonts w:hint="default" w:ascii="宋体" w:hAnsi="宋体" w:eastAsia="仿宋_GB2312"/>
          <w:lang w:val="en-US" w:eastAsia="zh-CN"/>
        </w:rPr>
      </w:pPr>
      <w:bookmarkStart w:id="127" w:name="_Toc24394"/>
      <w:r>
        <w:rPr>
          <w:rFonts w:hint="eastAsia" w:ascii="宋体" w:hAnsi="宋体"/>
          <w:lang w:eastAsia="zh-CN"/>
        </w:rPr>
        <w:t>（</w:t>
      </w:r>
      <w:r>
        <w:rPr>
          <w:rFonts w:hint="eastAsia" w:ascii="宋体" w:hAnsi="宋体"/>
          <w:lang w:val="en-US" w:eastAsia="zh-CN"/>
        </w:rPr>
        <w:t>一</w:t>
      </w:r>
      <w:r>
        <w:rPr>
          <w:rFonts w:hint="eastAsia" w:ascii="宋体" w:hAnsi="宋体"/>
          <w:lang w:eastAsia="zh-CN"/>
        </w:rPr>
        <w:t>）</w:t>
      </w:r>
      <w:r>
        <w:rPr>
          <w:rFonts w:hint="eastAsia" w:ascii="宋体" w:hAnsi="宋体"/>
          <w:lang w:val="en-US" w:eastAsia="zh-CN"/>
        </w:rPr>
        <w:t>完善相关管理制度</w:t>
      </w:r>
      <w:bookmarkEnd w:id="127"/>
    </w:p>
    <w:p w14:paraId="456DDBE8">
      <w:pPr>
        <w:bidi w:val="0"/>
        <w:rPr>
          <w:rFonts w:hint="eastAsia" w:ascii="宋体" w:hAnsi="宋体" w:eastAsia="仿宋_GB2312" w:cs="仿宋_GB2312"/>
          <w:i w:val="0"/>
          <w:iCs w:val="0"/>
          <w:caps w:val="0"/>
          <w:snapToGrid w:val="0"/>
          <w:color w:val="333333"/>
          <w:spacing w:val="6"/>
          <w:kern w:val="0"/>
          <w:sz w:val="30"/>
          <w:szCs w:val="30"/>
          <w:shd w:val="clear" w:fill="FFFFFF"/>
          <w:lang w:val="en-US" w:eastAsia="zh-CN" w:bidi="ar"/>
        </w:rPr>
      </w:pPr>
      <w:bookmarkStart w:id="128" w:name="_bookmark22"/>
      <w:bookmarkEnd w:id="128"/>
      <w:r>
        <w:rPr>
          <w:rFonts w:hint="eastAsia" w:ascii="宋体" w:hAnsi="宋体" w:eastAsia="仿宋_GB2312" w:cs="仿宋_GB2312"/>
          <w:i w:val="0"/>
          <w:iCs w:val="0"/>
          <w:caps w:val="0"/>
          <w:snapToGrid w:val="0"/>
          <w:color w:val="333333"/>
          <w:spacing w:val="6"/>
          <w:kern w:val="0"/>
          <w:sz w:val="30"/>
          <w:szCs w:val="30"/>
          <w:shd w:val="clear" w:fill="FFFFFF"/>
          <w:lang w:val="en-US" w:eastAsia="zh-CN" w:bidi="ar"/>
        </w:rPr>
        <w:t>建议项目</w:t>
      </w:r>
      <w:r>
        <w:rPr>
          <w:rFonts w:hint="eastAsia" w:ascii="宋体" w:hAnsi="宋体" w:cs="仿宋_GB2312"/>
          <w:i w:val="0"/>
          <w:iCs w:val="0"/>
          <w:caps w:val="0"/>
          <w:snapToGrid w:val="0"/>
          <w:color w:val="333333"/>
          <w:spacing w:val="6"/>
          <w:kern w:val="0"/>
          <w:sz w:val="30"/>
          <w:szCs w:val="30"/>
          <w:shd w:val="clear" w:fill="FFFFFF"/>
          <w:lang w:val="en-US" w:eastAsia="zh-CN" w:bidi="ar"/>
        </w:rPr>
        <w:t>实施</w:t>
      </w:r>
      <w:r>
        <w:rPr>
          <w:rFonts w:hint="eastAsia" w:ascii="宋体" w:hAnsi="宋体" w:eastAsia="仿宋_GB2312" w:cs="仿宋_GB2312"/>
          <w:i w:val="0"/>
          <w:iCs w:val="0"/>
          <w:caps w:val="0"/>
          <w:snapToGrid w:val="0"/>
          <w:color w:val="333333"/>
          <w:spacing w:val="6"/>
          <w:kern w:val="0"/>
          <w:sz w:val="30"/>
          <w:szCs w:val="30"/>
          <w:shd w:val="clear" w:fill="FFFFFF"/>
          <w:lang w:val="en-US" w:eastAsia="zh-CN" w:bidi="ar"/>
        </w:rPr>
        <w:t>单位完善财务管理制度</w:t>
      </w:r>
      <w:r>
        <w:rPr>
          <w:rFonts w:hint="eastAsia" w:ascii="宋体" w:hAnsi="宋体" w:cs="仿宋_GB2312"/>
          <w:i w:val="0"/>
          <w:iCs w:val="0"/>
          <w:caps w:val="0"/>
          <w:snapToGrid w:val="0"/>
          <w:color w:val="333333"/>
          <w:spacing w:val="6"/>
          <w:kern w:val="0"/>
          <w:sz w:val="30"/>
          <w:szCs w:val="30"/>
          <w:shd w:val="clear" w:fill="FFFFFF"/>
          <w:lang w:val="en-US" w:eastAsia="zh-CN" w:bidi="ar"/>
        </w:rPr>
        <w:t>、</w:t>
      </w:r>
      <w:r>
        <w:rPr>
          <w:rFonts w:hint="eastAsia" w:ascii="宋体" w:hAnsi="宋体" w:eastAsia="仿宋_GB2312" w:cs="仿宋_GB2312"/>
          <w:i w:val="0"/>
          <w:iCs w:val="0"/>
          <w:caps w:val="0"/>
          <w:snapToGrid w:val="0"/>
          <w:color w:val="333333"/>
          <w:spacing w:val="6"/>
          <w:kern w:val="0"/>
          <w:sz w:val="30"/>
          <w:szCs w:val="30"/>
          <w:shd w:val="clear" w:fill="FFFFFF"/>
          <w:lang w:val="en-US" w:eastAsia="zh-CN" w:bidi="ar"/>
        </w:rPr>
        <w:t>业务管理制度等相关管理制度。加强项目市场风险防控、技术风险防控、融资风险防控等，并针对相应的风险防控制定控制措施。及时查漏补缺，严格按照已经制定的相关制度执行。</w:t>
      </w:r>
    </w:p>
    <w:p w14:paraId="05FA3040">
      <w:pPr>
        <w:pStyle w:val="2"/>
        <w:bidi w:val="0"/>
        <w:rPr>
          <w:rFonts w:hint="default" w:ascii="宋体" w:hAnsi="宋体"/>
          <w:lang w:val="en-US" w:eastAsia="zh-CN"/>
        </w:rPr>
      </w:pPr>
      <w:bookmarkStart w:id="129" w:name="_Toc7457"/>
      <w:r>
        <w:rPr>
          <w:rFonts w:hint="eastAsia" w:ascii="宋体" w:hAnsi="宋体"/>
          <w:lang w:eastAsia="zh-CN"/>
        </w:rPr>
        <w:t>（</w:t>
      </w:r>
      <w:r>
        <w:rPr>
          <w:rFonts w:hint="eastAsia" w:ascii="宋体" w:hAnsi="宋体"/>
          <w:lang w:val="en-US" w:eastAsia="zh-CN"/>
        </w:rPr>
        <w:t>二</w:t>
      </w:r>
      <w:r>
        <w:rPr>
          <w:rFonts w:hint="eastAsia" w:ascii="宋体" w:hAnsi="宋体"/>
          <w:lang w:eastAsia="zh-CN"/>
        </w:rPr>
        <w:t>）</w:t>
      </w:r>
      <w:r>
        <w:rPr>
          <w:rFonts w:hint="eastAsia" w:ascii="宋体" w:hAnsi="宋体"/>
          <w:lang w:val="en-US" w:eastAsia="zh-CN"/>
        </w:rPr>
        <w:t>严格按照规范程序签订合同</w:t>
      </w:r>
      <w:bookmarkEnd w:id="129"/>
    </w:p>
    <w:p w14:paraId="3A2F5A74">
      <w:pPr>
        <w:bidi w:val="0"/>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pPr>
      <w:bookmarkStart w:id="130" w:name="_Toc290"/>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项目主管部门和项目</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实施</w:t>
      </w: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单位</w:t>
      </w:r>
      <w:r>
        <w:rPr>
          <w:rFonts w:hint="eastAsia" w:ascii="宋体" w:hAnsi="宋体" w:cs="仿宋_GB2312"/>
          <w:i w:val="0"/>
          <w:iCs w:val="0"/>
          <w:caps w:val="0"/>
          <w:snapToGrid w:val="0"/>
          <w:color w:val="333333"/>
          <w:spacing w:val="6"/>
          <w:kern w:val="0"/>
          <w:sz w:val="30"/>
          <w:szCs w:val="30"/>
          <w:highlight w:val="none"/>
          <w:shd w:val="clear" w:fill="FFFFFF"/>
          <w:lang w:val="en-US" w:eastAsia="zh-CN" w:bidi="ar"/>
        </w:rPr>
        <w:t>在建设过程中应加强对文件的校对和审核工作，按照有关财务会计制度规定，以及实际发生的经济业务事项为依据，做好各项日常会计核算工作，按照规定及时签订合同，确保财务会计信息的合法、真实、准确、及时、完整</w:t>
      </w:r>
      <w:r>
        <w:rPr>
          <w:rFonts w:hint="eastAsia" w:ascii="宋体" w:hAnsi="宋体" w:eastAsia="仿宋_GB2312" w:cs="仿宋_GB2312"/>
          <w:i w:val="0"/>
          <w:iCs w:val="0"/>
          <w:caps w:val="0"/>
          <w:snapToGrid w:val="0"/>
          <w:color w:val="333333"/>
          <w:spacing w:val="6"/>
          <w:kern w:val="0"/>
          <w:sz w:val="30"/>
          <w:szCs w:val="30"/>
          <w:highlight w:val="none"/>
          <w:shd w:val="clear" w:fill="FFFFFF"/>
          <w:lang w:val="en-US" w:eastAsia="zh-CN" w:bidi="ar"/>
        </w:rPr>
        <w:t>。</w:t>
      </w:r>
      <w:bookmarkEnd w:id="130"/>
    </w:p>
    <w:p w14:paraId="28E050E1">
      <w:pPr>
        <w:pStyle w:val="3"/>
        <w:bidi w:val="0"/>
        <w:rPr>
          <w:rFonts w:hint="eastAsia" w:ascii="宋体" w:hAnsi="宋体"/>
          <w:lang w:eastAsia="zh-CN"/>
        </w:rPr>
      </w:pPr>
      <w:bookmarkStart w:id="131" w:name="_bookmark24"/>
      <w:bookmarkEnd w:id="131"/>
      <w:bookmarkStart w:id="132" w:name="_bookmark23"/>
      <w:bookmarkEnd w:id="132"/>
      <w:bookmarkStart w:id="133" w:name="_Toc13717"/>
      <w:r>
        <w:rPr>
          <w:rFonts w:hint="eastAsia" w:ascii="宋体" w:hAnsi="宋体"/>
        </w:rPr>
        <w:t>七、其他需要说明的问题</w:t>
      </w:r>
      <w:bookmarkEnd w:id="133"/>
    </w:p>
    <w:p w14:paraId="27E4F0EB">
      <w:pPr>
        <w:keepNext w:val="0"/>
        <w:keepLines w:val="0"/>
        <w:pageBreakBefore w:val="0"/>
        <w:widowControl w:val="0"/>
        <w:wordWrap/>
        <w:overflowPunct/>
        <w:topLinePunct w:val="0"/>
        <w:bidi w:val="0"/>
        <w:spacing w:line="360" w:lineRule="auto"/>
        <w:ind w:left="0" w:right="0" w:firstLine="640" w:firstLineChars="200"/>
        <w:jc w:val="left"/>
        <w:textAlignment w:val="baseline"/>
        <w:rPr>
          <w:rFonts w:hint="eastAsia" w:ascii="宋体" w:hAnsi="宋体" w:eastAsia="仿宋_GB2312" w:cs="仿宋_GB2312"/>
          <w:spacing w:val="10"/>
          <w:sz w:val="30"/>
          <w:szCs w:val="30"/>
          <w:lang w:val="en-US" w:eastAsia="zh-CN"/>
        </w:rPr>
      </w:pPr>
      <w:r>
        <w:rPr>
          <w:rFonts w:hint="default" w:ascii="宋体" w:hAnsi="宋体" w:eastAsia="仿宋_GB2312" w:cs="仿宋_GB2312"/>
          <w:spacing w:val="10"/>
          <w:sz w:val="30"/>
          <w:szCs w:val="30"/>
          <w:lang w:val="en-US" w:eastAsia="zh-CN"/>
        </w:rPr>
        <w:t>本报告主要依据项目单位提供的资料及现场调研做出的 评价。报告主要是基于项目单位提供的决策、</w:t>
      </w:r>
      <w:r>
        <w:rPr>
          <w:rFonts w:hint="eastAsia" w:ascii="宋体" w:hAnsi="宋体" w:cs="仿宋_GB2312"/>
          <w:spacing w:val="10"/>
          <w:sz w:val="30"/>
          <w:szCs w:val="30"/>
          <w:lang w:val="en-US" w:eastAsia="zh-CN"/>
        </w:rPr>
        <w:t>管理</w:t>
      </w:r>
      <w:r>
        <w:rPr>
          <w:rFonts w:hint="default" w:ascii="宋体" w:hAnsi="宋体" w:eastAsia="仿宋_GB2312" w:cs="仿宋_GB2312"/>
          <w:spacing w:val="10"/>
          <w:sz w:val="30"/>
          <w:szCs w:val="30"/>
          <w:lang w:val="en-US" w:eastAsia="zh-CN"/>
        </w:rPr>
        <w:t>、产出、</w:t>
      </w:r>
      <w:r>
        <w:rPr>
          <w:rFonts w:hint="eastAsia" w:ascii="宋体" w:hAnsi="宋体" w:cs="仿宋_GB2312"/>
          <w:spacing w:val="10"/>
          <w:sz w:val="30"/>
          <w:szCs w:val="30"/>
          <w:lang w:val="en-US" w:eastAsia="zh-CN"/>
        </w:rPr>
        <w:t>效益</w:t>
      </w:r>
      <w:r>
        <w:rPr>
          <w:rFonts w:hint="default" w:ascii="宋体" w:hAnsi="宋体" w:eastAsia="仿宋_GB2312" w:cs="仿宋_GB2312"/>
          <w:spacing w:val="10"/>
          <w:sz w:val="30"/>
          <w:szCs w:val="30"/>
          <w:lang w:val="en-US" w:eastAsia="zh-CN"/>
        </w:rPr>
        <w:t>等方面的资料及合理的现场调研做出，评价组对资料的真实性进行了适当的调研与抽查。但受调研范围及现场情况所限，并不是每项指标的打分都有着充分的调研支撑，个别指标主要是依据评价组工作人员的专业判断</w:t>
      </w:r>
      <w:r>
        <w:rPr>
          <w:rFonts w:hint="eastAsia" w:ascii="宋体" w:hAnsi="宋体" w:eastAsia="仿宋_GB2312" w:cs="仿宋_GB2312"/>
          <w:spacing w:val="10"/>
          <w:sz w:val="30"/>
          <w:szCs w:val="30"/>
          <w:lang w:val="en-US" w:eastAsia="zh-CN"/>
        </w:rPr>
        <w:t>。</w:t>
      </w:r>
    </w:p>
    <w:p w14:paraId="414BDAFF">
      <w:pPr>
        <w:keepNext w:val="0"/>
        <w:keepLines w:val="0"/>
        <w:pageBreakBefore w:val="0"/>
        <w:widowControl w:val="0"/>
        <w:wordWrap/>
        <w:overflowPunct/>
        <w:topLinePunct w:val="0"/>
        <w:bidi w:val="0"/>
        <w:spacing w:line="360" w:lineRule="auto"/>
        <w:ind w:left="0" w:right="0" w:firstLine="640" w:firstLineChars="200"/>
        <w:jc w:val="left"/>
        <w:textAlignment w:val="baseline"/>
        <w:rPr>
          <w:rFonts w:hint="eastAsia" w:ascii="宋体" w:hAnsi="宋体" w:eastAsia="仿宋_GB2312" w:cs="仿宋_GB2312"/>
          <w:spacing w:val="10"/>
          <w:sz w:val="30"/>
          <w:szCs w:val="30"/>
          <w:lang w:val="en-US" w:eastAsia="zh-CN"/>
        </w:rPr>
      </w:pPr>
    </w:p>
    <w:p w14:paraId="30F3BC22">
      <w:pPr>
        <w:keepNext w:val="0"/>
        <w:keepLines w:val="0"/>
        <w:pageBreakBefore w:val="0"/>
        <w:widowControl w:val="0"/>
        <w:wordWrap/>
        <w:overflowPunct/>
        <w:topLinePunct w:val="0"/>
        <w:bidi w:val="0"/>
        <w:spacing w:line="360" w:lineRule="auto"/>
        <w:ind w:left="0" w:right="0" w:firstLine="640" w:firstLineChars="200"/>
        <w:jc w:val="left"/>
        <w:textAlignment w:val="baseline"/>
        <w:rPr>
          <w:rFonts w:hint="eastAsia" w:ascii="宋体" w:hAnsi="宋体" w:eastAsia="仿宋_GB2312" w:cs="仿宋_GB2312"/>
          <w:snapToGrid w:val="0"/>
          <w:color w:val="000000"/>
          <w:spacing w:val="10"/>
          <w:kern w:val="0"/>
          <w:sz w:val="30"/>
          <w:szCs w:val="30"/>
          <w:lang w:val="en-US" w:eastAsia="zh-CN"/>
        </w:rPr>
      </w:pPr>
      <w:r>
        <w:rPr>
          <w:rFonts w:hint="eastAsia" w:ascii="宋体" w:hAnsi="宋体" w:eastAsia="仿宋_GB2312" w:cs="仿宋_GB2312"/>
          <w:spacing w:val="10"/>
          <w:sz w:val="30"/>
          <w:szCs w:val="30"/>
          <w:lang w:val="en-US" w:eastAsia="zh-CN"/>
        </w:rPr>
        <w:t>附件1：长春市宽城区医院异地建设项目绩效评价综合评分表</w:t>
      </w:r>
    </w:p>
    <w:p w14:paraId="10EBE91C">
      <w:pPr>
        <w:bidi w:val="0"/>
        <w:jc w:val="left"/>
        <w:rPr>
          <w:rFonts w:hint="default" w:ascii="宋体" w:hAnsi="宋体" w:eastAsia="仿宋_GB2312" w:cs="Arial"/>
          <w:snapToGrid w:val="0"/>
          <w:color w:val="000000"/>
          <w:kern w:val="0"/>
          <w:sz w:val="30"/>
          <w:szCs w:val="21"/>
          <w:lang w:val="en-US" w:eastAsia="zh-CN"/>
        </w:rPr>
      </w:pPr>
    </w:p>
    <w:p w14:paraId="386733D3">
      <w:pPr>
        <w:bidi w:val="0"/>
        <w:jc w:val="left"/>
        <w:rPr>
          <w:rFonts w:hint="default" w:ascii="宋体" w:hAnsi="宋体" w:eastAsia="仿宋_GB2312" w:cs="Arial"/>
          <w:snapToGrid w:val="0"/>
          <w:color w:val="000000"/>
          <w:kern w:val="0"/>
          <w:sz w:val="30"/>
          <w:szCs w:val="21"/>
          <w:lang w:val="en-US" w:eastAsia="zh-CN"/>
        </w:rPr>
      </w:pPr>
    </w:p>
    <w:tbl>
      <w:tblPr>
        <w:tblStyle w:val="12"/>
        <w:tblW w:w="8528" w:type="dxa"/>
        <w:jc w:val="center"/>
        <w:tblLayout w:type="fixed"/>
        <w:tblCellMar>
          <w:top w:w="0" w:type="dxa"/>
          <w:left w:w="108" w:type="dxa"/>
          <w:bottom w:w="0" w:type="dxa"/>
          <w:right w:w="108" w:type="dxa"/>
        </w:tblCellMar>
      </w:tblPr>
      <w:tblGrid>
        <w:gridCol w:w="4264"/>
        <w:gridCol w:w="4264"/>
      </w:tblGrid>
      <w:tr w14:paraId="28D0321D">
        <w:trPr>
          <w:jc w:val="center"/>
        </w:trPr>
        <w:tc>
          <w:tcPr>
            <w:tcW w:w="4264" w:type="dxa"/>
            <w:vAlign w:val="center"/>
          </w:tcPr>
          <w:p w14:paraId="3F9AD079">
            <w:pPr>
              <w:keepNext w:val="0"/>
              <w:keepLines w:val="0"/>
              <w:pageBreakBefore w:val="0"/>
              <w:widowControl w:val="0"/>
              <w:kinsoku/>
              <w:wordWrap/>
              <w:overflowPunct/>
              <w:topLinePunct w:val="0"/>
              <w:autoSpaceDE/>
              <w:autoSpaceDN/>
              <w:bidi w:val="0"/>
              <w:adjustRightInd/>
              <w:snapToGrid/>
              <w:spacing w:before="312" w:beforeLines="100" w:after="312" w:afterLines="100" w:line="240" w:lineRule="auto"/>
              <w:jc w:val="center"/>
              <w:textAlignment w:val="auto"/>
              <w:rPr>
                <w:rFonts w:ascii="宋体" w:hAnsi="宋体" w:cs="Times New Roman"/>
                <w:sz w:val="28"/>
                <w:szCs w:val="28"/>
                <w:highlight w:val="none"/>
              </w:rPr>
            </w:pPr>
            <w:r>
              <w:rPr>
                <w:rFonts w:ascii="宋体" w:hAnsi="宋体" w:cs="Times New Roman"/>
                <w:sz w:val="28"/>
                <w:szCs w:val="28"/>
                <w:highlight w:val="none"/>
              </w:rPr>
              <w:t>长春岳华会计师事务所</w:t>
            </w:r>
          </w:p>
        </w:tc>
        <w:tc>
          <w:tcPr>
            <w:tcW w:w="4264" w:type="dxa"/>
            <w:vAlign w:val="center"/>
          </w:tcPr>
          <w:p w14:paraId="3B9B8BF9">
            <w:pPr>
              <w:keepNext w:val="0"/>
              <w:keepLines w:val="0"/>
              <w:pageBreakBefore w:val="0"/>
              <w:widowControl w:val="0"/>
              <w:kinsoku/>
              <w:wordWrap/>
              <w:overflowPunct/>
              <w:topLinePunct w:val="0"/>
              <w:autoSpaceDE/>
              <w:autoSpaceDN/>
              <w:bidi w:val="0"/>
              <w:adjustRightInd/>
              <w:snapToGrid/>
              <w:spacing w:before="312" w:beforeLines="100" w:after="312" w:afterLines="100" w:line="240" w:lineRule="auto"/>
              <w:jc w:val="center"/>
              <w:textAlignment w:val="auto"/>
              <w:rPr>
                <w:rFonts w:ascii="宋体" w:hAnsi="宋体" w:cs="Times New Roman"/>
                <w:sz w:val="28"/>
                <w:szCs w:val="28"/>
                <w:highlight w:val="none"/>
              </w:rPr>
            </w:pPr>
            <w:r>
              <w:rPr>
                <w:rFonts w:ascii="宋体" w:hAnsi="宋体" w:cs="Times New Roman"/>
                <w:sz w:val="28"/>
                <w:szCs w:val="28"/>
                <w:highlight w:val="none"/>
              </w:rPr>
              <w:t>中国注册会计师</w:t>
            </w:r>
            <w:r>
              <w:rPr>
                <w:rFonts w:hint="eastAsia" w:ascii="宋体" w:hAnsi="宋体" w:cs="Times New Roman"/>
                <w:sz w:val="28"/>
                <w:szCs w:val="28"/>
                <w:highlight w:val="none"/>
              </w:rPr>
              <w:t>：</w:t>
            </w:r>
          </w:p>
        </w:tc>
      </w:tr>
      <w:tr w14:paraId="25DFB3D8">
        <w:tblPrEx>
          <w:tblCellMar>
            <w:top w:w="0" w:type="dxa"/>
            <w:left w:w="108" w:type="dxa"/>
            <w:bottom w:w="0" w:type="dxa"/>
            <w:right w:w="108" w:type="dxa"/>
          </w:tblCellMar>
        </w:tblPrEx>
        <w:trPr>
          <w:jc w:val="center"/>
        </w:trPr>
        <w:tc>
          <w:tcPr>
            <w:tcW w:w="4264" w:type="dxa"/>
            <w:vAlign w:val="center"/>
          </w:tcPr>
          <w:p w14:paraId="2D670E56">
            <w:pPr>
              <w:keepNext w:val="0"/>
              <w:keepLines w:val="0"/>
              <w:pageBreakBefore w:val="0"/>
              <w:widowControl w:val="0"/>
              <w:kinsoku/>
              <w:wordWrap/>
              <w:overflowPunct/>
              <w:topLinePunct w:val="0"/>
              <w:autoSpaceDE/>
              <w:autoSpaceDN/>
              <w:bidi w:val="0"/>
              <w:adjustRightInd/>
              <w:snapToGrid/>
              <w:spacing w:before="312" w:beforeLines="100" w:after="312" w:afterLines="100" w:line="240" w:lineRule="auto"/>
              <w:jc w:val="center"/>
              <w:textAlignment w:val="auto"/>
              <w:rPr>
                <w:rFonts w:ascii="宋体" w:hAnsi="宋体" w:cs="Times New Roman"/>
                <w:sz w:val="28"/>
                <w:szCs w:val="28"/>
                <w:highlight w:val="none"/>
              </w:rPr>
            </w:pPr>
            <w:r>
              <w:rPr>
                <w:rFonts w:ascii="宋体" w:hAnsi="宋体" w:cs="Times New Roman"/>
                <w:sz w:val="28"/>
                <w:szCs w:val="28"/>
                <w:highlight w:val="none"/>
              </w:rPr>
              <w:t>（普通合伙）</w:t>
            </w:r>
          </w:p>
        </w:tc>
        <w:tc>
          <w:tcPr>
            <w:tcW w:w="4264" w:type="dxa"/>
            <w:vAlign w:val="center"/>
          </w:tcPr>
          <w:p w14:paraId="53F623F0">
            <w:pPr>
              <w:keepNext w:val="0"/>
              <w:keepLines w:val="0"/>
              <w:pageBreakBefore w:val="0"/>
              <w:widowControl w:val="0"/>
              <w:kinsoku/>
              <w:wordWrap/>
              <w:overflowPunct/>
              <w:topLinePunct w:val="0"/>
              <w:autoSpaceDE/>
              <w:autoSpaceDN/>
              <w:bidi w:val="0"/>
              <w:adjustRightInd/>
              <w:snapToGrid/>
              <w:spacing w:before="312" w:beforeLines="100" w:after="312" w:afterLines="100" w:line="240" w:lineRule="auto"/>
              <w:jc w:val="center"/>
              <w:textAlignment w:val="auto"/>
              <w:rPr>
                <w:rFonts w:hint="eastAsia" w:ascii="宋体" w:hAnsi="宋体" w:eastAsia="宋体" w:cs="Times New Roman"/>
                <w:sz w:val="28"/>
                <w:szCs w:val="28"/>
                <w:highlight w:val="none"/>
                <w:lang w:eastAsia="zh-CN"/>
              </w:rPr>
            </w:pPr>
            <w:r>
              <w:rPr>
                <w:rFonts w:ascii="宋体" w:hAnsi="宋体" w:cs="Times New Roman"/>
                <w:sz w:val="28"/>
                <w:szCs w:val="28"/>
                <w:highlight w:val="none"/>
              </w:rPr>
              <w:t>中国注册会计师</w:t>
            </w:r>
            <w:r>
              <w:rPr>
                <w:rFonts w:hint="eastAsia" w:ascii="宋体" w:hAnsi="宋体" w:cs="Times New Roman"/>
                <w:sz w:val="28"/>
                <w:szCs w:val="28"/>
                <w:highlight w:val="none"/>
              </w:rPr>
              <w:t>：</w:t>
            </w:r>
          </w:p>
        </w:tc>
      </w:tr>
      <w:tr w14:paraId="547C484D">
        <w:tblPrEx>
          <w:tblCellMar>
            <w:top w:w="0" w:type="dxa"/>
            <w:left w:w="108" w:type="dxa"/>
            <w:bottom w:w="0" w:type="dxa"/>
            <w:right w:w="108" w:type="dxa"/>
          </w:tblCellMar>
        </w:tblPrEx>
        <w:trPr>
          <w:jc w:val="center"/>
        </w:trPr>
        <w:tc>
          <w:tcPr>
            <w:tcW w:w="4264" w:type="dxa"/>
            <w:vAlign w:val="center"/>
          </w:tcPr>
          <w:p w14:paraId="51792A71">
            <w:pPr>
              <w:keepNext w:val="0"/>
              <w:keepLines w:val="0"/>
              <w:pageBreakBefore w:val="0"/>
              <w:widowControl w:val="0"/>
              <w:kinsoku/>
              <w:wordWrap/>
              <w:overflowPunct/>
              <w:topLinePunct w:val="0"/>
              <w:autoSpaceDE/>
              <w:autoSpaceDN/>
              <w:bidi w:val="0"/>
              <w:adjustRightInd/>
              <w:snapToGrid/>
              <w:spacing w:before="312" w:beforeLines="100" w:after="312" w:afterLines="100" w:line="240" w:lineRule="auto"/>
              <w:jc w:val="center"/>
              <w:textAlignment w:val="auto"/>
              <w:rPr>
                <w:rFonts w:ascii="宋体" w:hAnsi="宋体" w:cs="Times New Roman"/>
                <w:sz w:val="28"/>
                <w:szCs w:val="28"/>
                <w:highlight w:val="none"/>
              </w:rPr>
            </w:pPr>
            <w:r>
              <w:rPr>
                <w:rFonts w:ascii="宋体" w:hAnsi="宋体" w:cs="Times New Roman"/>
                <w:sz w:val="28"/>
                <w:szCs w:val="28"/>
                <w:highlight w:val="none"/>
              </w:rPr>
              <w:t>中国</w:t>
            </w:r>
            <w:r>
              <w:rPr>
                <w:rFonts w:hint="eastAsia" w:ascii="宋体" w:hAnsi="宋体" w:cs="Times New Roman"/>
                <w:sz w:val="28"/>
                <w:szCs w:val="28"/>
                <w:highlight w:val="none"/>
              </w:rPr>
              <w:t>·</w:t>
            </w:r>
            <w:r>
              <w:rPr>
                <w:rFonts w:ascii="宋体" w:hAnsi="宋体" w:cs="Times New Roman"/>
                <w:sz w:val="28"/>
                <w:szCs w:val="28"/>
                <w:highlight w:val="none"/>
              </w:rPr>
              <w:t>长春市</w:t>
            </w:r>
          </w:p>
        </w:tc>
        <w:tc>
          <w:tcPr>
            <w:tcW w:w="4264" w:type="dxa"/>
            <w:vAlign w:val="center"/>
          </w:tcPr>
          <w:p w14:paraId="6B4746F9">
            <w:pPr>
              <w:keepNext w:val="0"/>
              <w:keepLines w:val="0"/>
              <w:pageBreakBefore w:val="0"/>
              <w:widowControl w:val="0"/>
              <w:kinsoku/>
              <w:wordWrap/>
              <w:overflowPunct/>
              <w:topLinePunct w:val="0"/>
              <w:autoSpaceDE/>
              <w:autoSpaceDN/>
              <w:bidi w:val="0"/>
              <w:adjustRightInd/>
              <w:snapToGrid/>
              <w:spacing w:before="312" w:beforeLines="100" w:after="312" w:afterLines="100" w:line="240" w:lineRule="auto"/>
              <w:jc w:val="center"/>
              <w:textAlignment w:val="auto"/>
              <w:rPr>
                <w:rFonts w:ascii="宋体" w:hAnsi="宋体" w:cs="Times New Roman"/>
                <w:sz w:val="28"/>
                <w:szCs w:val="28"/>
                <w:highlight w:val="yellow"/>
              </w:rPr>
            </w:pPr>
            <w:r>
              <w:rPr>
                <w:rFonts w:ascii="宋体" w:hAnsi="宋体" w:cs="Times New Roman"/>
                <w:sz w:val="28"/>
                <w:szCs w:val="28"/>
                <w:highlight w:val="none"/>
              </w:rPr>
              <w:t>二</w:t>
            </w:r>
            <w:r>
              <w:rPr>
                <w:rFonts w:ascii="宋体" w:hAnsi="宋体"/>
                <w:sz w:val="28"/>
                <w:szCs w:val="28"/>
                <w:highlight w:val="none"/>
              </w:rPr>
              <w:t>○</w:t>
            </w:r>
            <w:r>
              <w:rPr>
                <w:rFonts w:ascii="宋体" w:hAnsi="宋体" w:cs="Times New Roman"/>
                <w:sz w:val="28"/>
                <w:szCs w:val="28"/>
                <w:highlight w:val="none"/>
              </w:rPr>
              <w:t>二</w:t>
            </w:r>
            <w:r>
              <w:rPr>
                <w:rFonts w:hint="eastAsia" w:ascii="宋体" w:hAnsi="宋体" w:cs="Times New Roman"/>
                <w:sz w:val="28"/>
                <w:szCs w:val="28"/>
                <w:highlight w:val="none"/>
                <w:lang w:val="en-US" w:eastAsia="zh-CN"/>
              </w:rPr>
              <w:t>五</w:t>
            </w:r>
            <w:r>
              <w:rPr>
                <w:rFonts w:ascii="宋体" w:hAnsi="宋体" w:cs="Times New Roman"/>
                <w:sz w:val="28"/>
                <w:szCs w:val="28"/>
                <w:highlight w:val="none"/>
              </w:rPr>
              <w:t>年</w:t>
            </w:r>
            <w:r>
              <w:rPr>
                <w:rFonts w:hint="eastAsia" w:ascii="宋体" w:hAnsi="宋体" w:cs="Times New Roman"/>
                <w:sz w:val="28"/>
                <w:szCs w:val="28"/>
                <w:highlight w:val="none"/>
                <w:lang w:val="en-US" w:eastAsia="zh-CN"/>
              </w:rPr>
              <w:t>五</w:t>
            </w:r>
            <w:r>
              <w:rPr>
                <w:rFonts w:ascii="宋体" w:hAnsi="宋体" w:cs="Times New Roman"/>
                <w:sz w:val="28"/>
                <w:szCs w:val="28"/>
                <w:highlight w:val="none"/>
              </w:rPr>
              <w:t>月</w:t>
            </w:r>
            <w:r>
              <w:rPr>
                <w:rFonts w:hint="eastAsia" w:ascii="宋体" w:hAnsi="宋体" w:cs="Times New Roman"/>
                <w:sz w:val="28"/>
                <w:szCs w:val="28"/>
                <w:highlight w:val="none"/>
                <w:lang w:val="en-US" w:eastAsia="zh-CN"/>
              </w:rPr>
              <w:t>十二</w:t>
            </w:r>
            <w:r>
              <w:rPr>
                <w:rFonts w:ascii="宋体" w:hAnsi="宋体" w:cs="Times New Roman"/>
                <w:sz w:val="28"/>
                <w:szCs w:val="28"/>
                <w:highlight w:val="none"/>
              </w:rPr>
              <w:t>日</w:t>
            </w:r>
          </w:p>
        </w:tc>
      </w:tr>
    </w:tbl>
    <w:p w14:paraId="50819BB9">
      <w:pPr>
        <w:bidi w:val="0"/>
        <w:jc w:val="left"/>
        <w:rPr>
          <w:rFonts w:hint="default" w:ascii="宋体" w:hAnsi="宋体" w:eastAsia="仿宋_GB2312" w:cs="Arial"/>
          <w:snapToGrid w:val="0"/>
          <w:color w:val="000000"/>
          <w:kern w:val="0"/>
          <w:sz w:val="30"/>
          <w:szCs w:val="21"/>
          <w:lang w:val="en-US" w:eastAsia="zh-CN"/>
        </w:rPr>
      </w:pPr>
    </w:p>
    <w:sectPr>
      <w:footerReference r:id="rId7" w:type="default"/>
      <w:pgSz w:w="11906" w:h="16839"/>
      <w:pgMar w:top="1440" w:right="1800" w:bottom="1440" w:left="1800" w:header="0" w:footer="1059"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r>
        <w:separator/>
      </w:r>
    </w:p>
  </w:endnote>
  <w:endnote w:type="continuationSeparator" w:id="1">
    <w:p>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E15D1CB-5812-4499-B846-A6BCBC7D77A3}"/>
  </w:font>
  <w:font w:name="黑体">
    <w:panose1 w:val="02010609060101010101"/>
    <w:charset w:val="86"/>
    <w:family w:val="auto"/>
    <w:pitch w:val="default"/>
    <w:sig w:usb0="800002BF" w:usb1="38CF7CFA" w:usb2="00000016" w:usb3="00000000" w:csb0="00040001" w:csb1="00000000"/>
    <w:embedRegular r:id="rId2" w:fontKey="{A568270D-4EF6-4967-BE09-7DA0B7B2CBC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9435F5ED-43CB-4FFA-BE87-45D7B3F2E7F8}"/>
  </w:font>
  <w:font w:name="方正小标宋简体">
    <w:panose1 w:val="02010600010101010101"/>
    <w:charset w:val="86"/>
    <w:family w:val="auto"/>
    <w:pitch w:val="default"/>
    <w:sig w:usb0="00000001" w:usb1="080E0000" w:usb2="00000000" w:usb3="00000000" w:csb0="00040000" w:csb1="00000000"/>
    <w:embedRegular r:id="rId4" w:fontKey="{9BEE6E28-6257-4E22-8634-00F7370DFC7A}"/>
  </w:font>
  <w:font w:name="仿宋">
    <w:panose1 w:val="02010609060101010101"/>
    <w:charset w:val="86"/>
    <w:family w:val="auto"/>
    <w:pitch w:val="default"/>
    <w:sig w:usb0="800002BF" w:usb1="38CF7CFA" w:usb2="00000016" w:usb3="00000000" w:csb0="00040001" w:csb1="00000000"/>
    <w:embedRegular r:id="rId5" w:fontKey="{4D39DA36-6704-41C4-BC1F-7F6186E9F91A}"/>
  </w:font>
  <w:font w:name="Arial Narrow">
    <w:panose1 w:val="020B0606020202030204"/>
    <w:charset w:val="00"/>
    <w:family w:val="auto"/>
    <w:pitch w:val="default"/>
    <w:sig w:usb0="00000287" w:usb1="00000800" w:usb2="00000000" w:usb3="00000000" w:csb0="2000009F" w:csb1="DFD70000"/>
    <w:embedRegular r:id="rId6" w:fontKey="{87E9C5AE-D6A5-4D10-8C22-17B0488C808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17C76">
    <w:pPr>
      <w:spacing w:line="194" w:lineRule="auto"/>
      <w:ind w:left="4278"/>
      <w:rPr>
        <w:rFonts w:ascii="仿宋" w:hAnsi="仿宋" w:eastAsia="仿宋" w:cs="仿宋"/>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58B26">
    <w:pPr>
      <w:spacing w:line="194" w:lineRule="auto"/>
      <w:ind w:left="4278"/>
      <w:rPr>
        <w:rFonts w:ascii="仿宋" w:hAnsi="仿宋" w:eastAsia="仿宋" w:cs="仿宋"/>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C7672C">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C7672C">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00"/>
      </w:pPr>
      <w:r>
        <w:separator/>
      </w:r>
    </w:p>
  </w:footnote>
  <w:footnote w:type="continuationSeparator" w:id="1">
    <w:p>
      <w:pPr>
        <w:spacing w:line="360" w:lineRule="auto"/>
        <w:ind w:firstLine="6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B83B3">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95EF7"/>
    <w:multiLevelType w:val="singleLevel"/>
    <w:tmpl w:val="07995EF7"/>
    <w:lvl w:ilvl="0" w:tentative="0">
      <w:start w:val="2"/>
      <w:numFmt w:val="chineseCounting"/>
      <w:suff w:val="nothing"/>
      <w:lvlText w:val="（%1）"/>
      <w:lvlJc w:val="left"/>
      <w:rPr>
        <w:rFonts w:hint="eastAsia"/>
      </w:rPr>
    </w:lvl>
  </w:abstractNum>
  <w:abstractNum w:abstractNumId="1">
    <w:nsid w:val="38D6DDC6"/>
    <w:multiLevelType w:val="singleLevel"/>
    <w:tmpl w:val="38D6DDC6"/>
    <w:lvl w:ilvl="0" w:tentative="0">
      <w:start w:val="5"/>
      <w:numFmt w:val="chineseCounting"/>
      <w:suff w:val="nothing"/>
      <w:lvlText w:val="%1、"/>
      <w:lvlJc w:val="left"/>
      <w:rPr>
        <w:rFonts w:hint="eastAsia"/>
      </w:rPr>
    </w:lvl>
  </w:abstractNum>
  <w:abstractNum w:abstractNumId="2">
    <w:nsid w:val="4EB4E80B"/>
    <w:multiLevelType w:val="singleLevel"/>
    <w:tmpl w:val="4EB4E80B"/>
    <w:lvl w:ilvl="0" w:tentative="0">
      <w:start w:val="4"/>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mJkMmNiNzQxMDQ2ZTdiNTUyMTcwMTJlZDQ4NTg2ZWYifQ=="/>
  </w:docVars>
  <w:rsids>
    <w:rsidRoot w:val="00000000"/>
    <w:rsid w:val="000203CD"/>
    <w:rsid w:val="00FB42BA"/>
    <w:rsid w:val="03944C2D"/>
    <w:rsid w:val="03C73360"/>
    <w:rsid w:val="03F4793D"/>
    <w:rsid w:val="04BD7D66"/>
    <w:rsid w:val="085C3EA8"/>
    <w:rsid w:val="0B8E11DA"/>
    <w:rsid w:val="0BE835B9"/>
    <w:rsid w:val="0C851632"/>
    <w:rsid w:val="111C26AB"/>
    <w:rsid w:val="131E4B35"/>
    <w:rsid w:val="13FD1F2D"/>
    <w:rsid w:val="142E49F6"/>
    <w:rsid w:val="148B131B"/>
    <w:rsid w:val="14DE3B0C"/>
    <w:rsid w:val="163757C5"/>
    <w:rsid w:val="165F5BA3"/>
    <w:rsid w:val="16EE2814"/>
    <w:rsid w:val="1B5B7A3D"/>
    <w:rsid w:val="1B863AF8"/>
    <w:rsid w:val="1C297D63"/>
    <w:rsid w:val="1CFC6C98"/>
    <w:rsid w:val="1D0F2749"/>
    <w:rsid w:val="1D415F2B"/>
    <w:rsid w:val="1E334CA7"/>
    <w:rsid w:val="1F9B2B54"/>
    <w:rsid w:val="1FF40688"/>
    <w:rsid w:val="200F7270"/>
    <w:rsid w:val="203A3245"/>
    <w:rsid w:val="204E33A7"/>
    <w:rsid w:val="2111745B"/>
    <w:rsid w:val="230848E4"/>
    <w:rsid w:val="2313705F"/>
    <w:rsid w:val="23C818DD"/>
    <w:rsid w:val="248C46E5"/>
    <w:rsid w:val="26F57957"/>
    <w:rsid w:val="27A41498"/>
    <w:rsid w:val="28BC683F"/>
    <w:rsid w:val="291E6775"/>
    <w:rsid w:val="2AD30322"/>
    <w:rsid w:val="2C5477D8"/>
    <w:rsid w:val="2D172C86"/>
    <w:rsid w:val="2E8B3265"/>
    <w:rsid w:val="319A07F5"/>
    <w:rsid w:val="31CB4830"/>
    <w:rsid w:val="321A26C3"/>
    <w:rsid w:val="32623EAC"/>
    <w:rsid w:val="344F4CEC"/>
    <w:rsid w:val="365A4738"/>
    <w:rsid w:val="372413FB"/>
    <w:rsid w:val="38163439"/>
    <w:rsid w:val="389B56ED"/>
    <w:rsid w:val="38D42F08"/>
    <w:rsid w:val="3E3C74EF"/>
    <w:rsid w:val="3FF55066"/>
    <w:rsid w:val="403E059F"/>
    <w:rsid w:val="40DB6007"/>
    <w:rsid w:val="40DF6392"/>
    <w:rsid w:val="42CB4E20"/>
    <w:rsid w:val="42E57F09"/>
    <w:rsid w:val="42F8046B"/>
    <w:rsid w:val="43943464"/>
    <w:rsid w:val="45F60406"/>
    <w:rsid w:val="46C27B72"/>
    <w:rsid w:val="476870E2"/>
    <w:rsid w:val="48E74C99"/>
    <w:rsid w:val="49374FBE"/>
    <w:rsid w:val="4963478E"/>
    <w:rsid w:val="497F11CB"/>
    <w:rsid w:val="4A2A5FB0"/>
    <w:rsid w:val="4A4021AC"/>
    <w:rsid w:val="4A6F69D9"/>
    <w:rsid w:val="4C942D32"/>
    <w:rsid w:val="4CCD3468"/>
    <w:rsid w:val="4D6E6136"/>
    <w:rsid w:val="4DE6060A"/>
    <w:rsid w:val="4FA709C3"/>
    <w:rsid w:val="4FEE7033"/>
    <w:rsid w:val="54526AAE"/>
    <w:rsid w:val="54776638"/>
    <w:rsid w:val="548836BE"/>
    <w:rsid w:val="55371257"/>
    <w:rsid w:val="56A02924"/>
    <w:rsid w:val="571B119A"/>
    <w:rsid w:val="58282F59"/>
    <w:rsid w:val="5893622F"/>
    <w:rsid w:val="58A57533"/>
    <w:rsid w:val="596B480F"/>
    <w:rsid w:val="5B744BB6"/>
    <w:rsid w:val="5BB66216"/>
    <w:rsid w:val="5BC87CF7"/>
    <w:rsid w:val="5C2238AB"/>
    <w:rsid w:val="5C3C1109"/>
    <w:rsid w:val="5E4E6BDA"/>
    <w:rsid w:val="5FC1368F"/>
    <w:rsid w:val="62A3326C"/>
    <w:rsid w:val="65D64438"/>
    <w:rsid w:val="68A4425A"/>
    <w:rsid w:val="6E5318AD"/>
    <w:rsid w:val="6F32650F"/>
    <w:rsid w:val="70C04FE9"/>
    <w:rsid w:val="712203AF"/>
    <w:rsid w:val="736C3D40"/>
    <w:rsid w:val="73765FEC"/>
    <w:rsid w:val="73D13E24"/>
    <w:rsid w:val="75693EA1"/>
    <w:rsid w:val="78EE0999"/>
    <w:rsid w:val="7972098E"/>
    <w:rsid w:val="7CAF4890"/>
    <w:rsid w:val="7DA657E4"/>
    <w:rsid w:val="7E015E0F"/>
    <w:rsid w:val="7E0C2C90"/>
    <w:rsid w:val="7FC06DB4"/>
    <w:rsid w:val="7FD957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360" w:lineRule="auto"/>
      <w:ind w:firstLine="723" w:firstLineChars="200"/>
      <w:jc w:val="left"/>
      <w:textAlignment w:val="baseline"/>
    </w:pPr>
    <w:rPr>
      <w:rFonts w:ascii="Arial" w:hAnsi="Arial" w:eastAsia="仿宋_GB2312" w:cs="Arial"/>
      <w:snapToGrid w:val="0"/>
      <w:color w:val="000000"/>
      <w:kern w:val="0"/>
      <w:sz w:val="30"/>
      <w:szCs w:val="21"/>
    </w:rPr>
  </w:style>
  <w:style w:type="paragraph" w:styleId="3">
    <w:name w:val="heading 1"/>
    <w:basedOn w:val="1"/>
    <w:next w:val="1"/>
    <w:autoRedefine/>
    <w:qFormat/>
    <w:uiPriority w:val="0"/>
    <w:pPr>
      <w:keepNext/>
      <w:keepLines/>
      <w:spacing w:beforeLines="0" w:beforeAutospacing="0" w:afterLines="0" w:afterAutospacing="0" w:line="360" w:lineRule="auto"/>
      <w:ind w:firstLine="723" w:firstLineChars="200"/>
      <w:outlineLvl w:val="0"/>
    </w:pPr>
    <w:rPr>
      <w:rFonts w:ascii="Arial" w:hAnsi="Arial" w:eastAsia="黑体"/>
      <w:b/>
      <w:kern w:val="44"/>
    </w:rPr>
  </w:style>
  <w:style w:type="paragraph" w:styleId="2">
    <w:name w:val="heading 2"/>
    <w:basedOn w:val="1"/>
    <w:next w:val="1"/>
    <w:unhideWhenUsed/>
    <w:qFormat/>
    <w:uiPriority w:val="0"/>
    <w:pPr>
      <w:keepNext/>
      <w:keepLines/>
      <w:spacing w:beforeLines="0" w:beforeAutospacing="0" w:afterLines="0" w:afterAutospacing="0" w:line="360" w:lineRule="auto"/>
      <w:ind w:firstLine="723" w:firstLineChars="200"/>
      <w:outlineLvl w:val="1"/>
    </w:pPr>
    <w:rPr>
      <w:rFonts w:ascii="Arial" w:hAnsi="Arial"/>
      <w:b/>
    </w:rPr>
  </w:style>
  <w:style w:type="paragraph" w:styleId="4">
    <w:name w:val="heading 3"/>
    <w:basedOn w:val="1"/>
    <w:next w:val="1"/>
    <w:autoRedefine/>
    <w:unhideWhenUsed/>
    <w:qFormat/>
    <w:uiPriority w:val="0"/>
    <w:pPr>
      <w:keepNext/>
      <w:keepLines/>
      <w:spacing w:beforeLines="0" w:beforeAutospacing="0" w:afterLines="0" w:afterAutospacing="0" w:line="360" w:lineRule="auto"/>
      <w:ind w:firstLine="723" w:firstLineChars="200"/>
      <w:outlineLvl w:val="2"/>
    </w:pPr>
    <w:rPr>
      <w:rFonts w:ascii="Arial" w:hAnsi="Arial"/>
    </w:rPr>
  </w:style>
  <w:style w:type="paragraph" w:styleId="5">
    <w:name w:val="heading 4"/>
    <w:basedOn w:val="1"/>
    <w:next w:val="1"/>
    <w:autoRedefine/>
    <w:unhideWhenUsed/>
    <w:qFormat/>
    <w:uiPriority w:val="0"/>
    <w:pPr>
      <w:keepNext/>
      <w:keepLines/>
      <w:spacing w:beforeLines="0" w:beforeAutospacing="0" w:afterLines="0" w:afterAutospacing="0" w:line="360" w:lineRule="auto"/>
      <w:ind w:firstLine="723" w:firstLineChars="200"/>
      <w:outlineLvl w:val="3"/>
    </w:pPr>
    <w:rPr>
      <w:rFonts w:ascii="Arial" w:hAnsi="Arial"/>
    </w:rPr>
  </w:style>
  <w:style w:type="character" w:default="1" w:styleId="13">
    <w:name w:val="Default Paragraph Font"/>
    <w:autoRedefine/>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toc 3"/>
    <w:basedOn w:val="1"/>
    <w:next w:val="1"/>
    <w:autoRedefine/>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toc 1"/>
    <w:basedOn w:val="1"/>
    <w:next w:val="1"/>
    <w:autoRedefine/>
    <w:qFormat/>
    <w:uiPriority w:val="0"/>
  </w:style>
  <w:style w:type="paragraph" w:styleId="10">
    <w:name w:val="toc 2"/>
    <w:basedOn w:val="1"/>
    <w:next w:val="1"/>
    <w:autoRedefine/>
    <w:qFormat/>
    <w:uiPriority w:val="0"/>
    <w:pPr>
      <w:ind w:left="420" w:leftChars="200"/>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14">
    <w:name w:val="Table Normal"/>
    <w:autoRedefine/>
    <w:semiHidden/>
    <w:unhideWhenUsed/>
    <w:qFormat/>
    <w:uiPriority w:val="0"/>
    <w:tblPr>
      <w:tblCellMar>
        <w:top w:w="0" w:type="dxa"/>
        <w:left w:w="0" w:type="dxa"/>
        <w:bottom w:w="0" w:type="dxa"/>
        <w:right w:w="0" w:type="dxa"/>
      </w:tblCellMar>
    </w:tblPr>
  </w:style>
  <w:style w:type="paragraph" w:customStyle="1" w:styleId="15">
    <w:name w:val="4正文"/>
    <w:basedOn w:val="1"/>
    <w:autoRedefine/>
    <w:qFormat/>
    <w:uiPriority w:val="0"/>
    <w:pPr>
      <w:spacing w:line="360" w:lineRule="auto"/>
      <w:ind w:firstLine="200" w:firstLineChars="200"/>
      <w:jc w:val="left"/>
    </w:pPr>
    <w:rPr>
      <w:rFonts w:ascii="Times New Roman" w:hAnsi="Times New Roman" w:eastAsia="仿宋_GB2312" w:cs="Times New Roman"/>
      <w:sz w:val="24"/>
      <w:szCs w:val="24"/>
    </w:rPr>
  </w:style>
  <w:style w:type="paragraph" w:customStyle="1" w:styleId="16">
    <w:name w:val="WPSOffice手动目录 1"/>
    <w:autoRedefine/>
    <w:qFormat/>
    <w:uiPriority w:val="0"/>
    <w:pPr>
      <w:ind w:leftChars="0"/>
    </w:pPr>
    <w:rPr>
      <w:rFonts w:ascii="Arial" w:hAnsi="Arial" w:eastAsia="Arial" w:cs="Arial"/>
      <w:sz w:val="20"/>
      <w:szCs w:val="20"/>
    </w:rPr>
  </w:style>
  <w:style w:type="paragraph" w:customStyle="1" w:styleId="17">
    <w:name w:val="WPSOffice手动目录 2"/>
    <w:qFormat/>
    <w:uiPriority w:val="0"/>
    <w:pPr>
      <w:ind w:leftChars="200"/>
    </w:pPr>
    <w:rPr>
      <w:rFonts w:ascii="Arial" w:hAnsi="Arial" w:eastAsia="Arial" w:cs="Arial"/>
      <w:sz w:val="20"/>
      <w:szCs w:val="20"/>
    </w:rPr>
  </w:style>
  <w:style w:type="character" w:customStyle="1" w:styleId="18">
    <w:name w:val="font21"/>
    <w:basedOn w:val="13"/>
    <w:qFormat/>
    <w:uiPriority w:val="0"/>
    <w:rPr>
      <w:rFonts w:hint="eastAsia" w:ascii="宋体" w:hAnsi="宋体" w:eastAsia="宋体" w:cs="宋体"/>
      <w:color w:val="000000"/>
      <w:sz w:val="18"/>
      <w:szCs w:val="18"/>
      <w:u w:val="none"/>
    </w:rPr>
  </w:style>
  <w:style w:type="character" w:customStyle="1" w:styleId="19">
    <w:name w:val="font11"/>
    <w:basedOn w:val="13"/>
    <w:qFormat/>
    <w:uiPriority w:val="0"/>
    <w:rPr>
      <w:rFonts w:hint="eastAsia" w:ascii="宋体" w:hAnsi="宋体" w:eastAsia="宋体" w:cs="宋体"/>
      <w:b/>
      <w:bCs/>
      <w:color w:val="000000"/>
      <w:sz w:val="18"/>
      <w:szCs w:val="18"/>
      <w:u w:val="none"/>
    </w:rPr>
  </w:style>
  <w:style w:type="character" w:customStyle="1" w:styleId="20">
    <w:name w:val="font31"/>
    <w:basedOn w:val="13"/>
    <w:autoRedefine/>
    <w:qFormat/>
    <w:uiPriority w:val="0"/>
    <w:rPr>
      <w:rFonts w:hint="eastAsia" w:ascii="宋体" w:hAnsi="宋体" w:eastAsia="宋体" w:cs="宋体"/>
      <w:b/>
      <w:bCs/>
      <w:color w:val="000000"/>
      <w:sz w:val="21"/>
      <w:szCs w:val="21"/>
      <w:u w:val="none"/>
    </w:rPr>
  </w:style>
  <w:style w:type="paragraph" w:customStyle="1" w:styleId="21">
    <w:name w:val="办公会正文"/>
    <w:basedOn w:val="1"/>
    <w:autoRedefine/>
    <w:qFormat/>
    <w:uiPriority w:val="0"/>
    <w:pPr>
      <w:spacing w:line="560" w:lineRule="exact"/>
      <w:ind w:firstLine="200" w:firstLineChars="200"/>
    </w:pPr>
    <w:rPr>
      <w:rFonts w:ascii="仿宋_GB2312" w:eastAsia="仿宋_GB2312"/>
      <w:sz w:val="28"/>
    </w:rPr>
  </w:style>
  <w:style w:type="character" w:customStyle="1" w:styleId="22">
    <w:name w:val="font61"/>
    <w:basedOn w:val="13"/>
    <w:autoRedefine/>
    <w:qFormat/>
    <w:uiPriority w:val="0"/>
    <w:rPr>
      <w:rFonts w:hint="eastAsia" w:ascii="宋体" w:hAnsi="宋体" w:eastAsia="宋体" w:cs="宋体"/>
      <w:b/>
      <w:bCs/>
      <w:color w:val="000000"/>
      <w:sz w:val="20"/>
      <w:szCs w:val="20"/>
      <w:u w:val="none"/>
    </w:rPr>
  </w:style>
  <w:style w:type="character" w:customStyle="1" w:styleId="23">
    <w:name w:val="font41"/>
    <w:basedOn w:val="13"/>
    <w:autoRedefine/>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25</Pages>
  <Words>10800</Words>
  <Characters>11841</Characters>
  <TotalTime>65</TotalTime>
  <ScaleCrop>false</ScaleCrop>
  <LinksUpToDate>false</LinksUpToDate>
  <CharactersWithSpaces>12036</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2022-06-30T10:14:00Z</dcterms:created>
  <dc:creator>Administrator</dc:creator>
  <cp:lastModifiedBy>WPS_1594364136</cp:lastModifiedBy>
  <cp:lastPrinted>2025-05-12T02:52:56Z</cp:lastPrinted>
  <dcterms:modified xsi:type="dcterms:W3CDTF">2025-05-12T02:57:40Z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2023-05-07T10:05:40Z</vt:filetime>
  </property>
  <property fmtid="{D5CDD505-2E9C-101B-9397-08002B2CF9AE}" pid="4" name="KSOProductBuildVer">
    <vt:lpwstr>2052-12.1.0.20784</vt:lpwstr>
  </property>
  <property fmtid="{D5CDD505-2E9C-101B-9397-08002B2CF9AE}" pid="5" name="ICV">
    <vt:lpwstr>7DAFD34489504656B35D6F3D5B1AE8F4_13</vt:lpwstr>
  </property>
  <property fmtid="{D5CDD505-2E9C-101B-9397-08002B2CF9AE}" pid="6" name="KSOTemplateDocerSaveRecord">
    <vt:lpwstr>eyJoZGlkIjoiZjU0ZGM0NmRjMTMyYWJjZDhlZWVkN2JiNTU2YjU0ZWUiLCJ1c2VySWQiOiIxMDMzNjQ3MzA0In0=</vt:lpwstr>
  </property>
</Properties>
</file>