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DB401">
      <w:pPr>
        <w:pStyle w:val="11"/>
        <w:widowControl w:val="0"/>
        <w:kinsoku/>
        <w:autoSpaceDE/>
        <w:autoSpaceDN/>
        <w:adjustRightInd/>
        <w:snapToGrid/>
        <w:spacing w:beforeAutospacing="0" w:afterAutospacing="0"/>
        <w:jc w:val="center"/>
        <w:rPr>
          <w:rFonts w:ascii="宋体" w:hAnsi="宋体" w:eastAsia="方正小标宋简体" w:cs="方正小标宋简体"/>
          <w:b/>
          <w:bCs/>
          <w:color w:val="333333"/>
          <w:sz w:val="36"/>
          <w:szCs w:val="36"/>
          <w:shd w:val="clear" w:color="auto" w:fill="FFFFFF"/>
        </w:rPr>
      </w:pPr>
    </w:p>
    <w:p w14:paraId="02499BF1">
      <w:pPr>
        <w:pStyle w:val="11"/>
        <w:widowControl w:val="0"/>
        <w:kinsoku/>
        <w:autoSpaceDE/>
        <w:autoSpaceDN/>
        <w:adjustRightInd/>
        <w:snapToGrid/>
        <w:spacing w:beforeAutospacing="0" w:afterAutospacing="0"/>
        <w:jc w:val="center"/>
        <w:rPr>
          <w:rFonts w:ascii="宋体" w:hAnsi="宋体" w:eastAsia="方正小标宋简体" w:cs="方正小标宋简体"/>
          <w:b/>
          <w:bCs/>
          <w:color w:val="333333"/>
          <w:sz w:val="36"/>
          <w:szCs w:val="36"/>
          <w:shd w:val="clear" w:color="auto" w:fill="FFFFFF"/>
        </w:rPr>
      </w:pPr>
    </w:p>
    <w:p w14:paraId="6E933A97">
      <w:pPr>
        <w:pStyle w:val="11"/>
        <w:widowControl w:val="0"/>
        <w:kinsoku/>
        <w:autoSpaceDE/>
        <w:autoSpaceDN/>
        <w:adjustRightInd/>
        <w:snapToGrid/>
        <w:spacing w:beforeAutospacing="0" w:afterAutospacing="0"/>
        <w:jc w:val="center"/>
        <w:rPr>
          <w:rFonts w:ascii="宋体" w:hAnsi="宋体" w:eastAsia="方正小标宋简体" w:cs="方正小标宋简体"/>
          <w:b/>
          <w:bCs/>
          <w:color w:val="333333"/>
          <w:sz w:val="36"/>
          <w:szCs w:val="36"/>
          <w:shd w:val="clear" w:color="auto" w:fill="FFFFFF"/>
        </w:rPr>
      </w:pPr>
    </w:p>
    <w:p w14:paraId="5BB3F3E1">
      <w:pPr>
        <w:pStyle w:val="11"/>
        <w:widowControl w:val="0"/>
        <w:kinsoku/>
        <w:autoSpaceDE/>
        <w:autoSpaceDN/>
        <w:adjustRightInd/>
        <w:snapToGrid/>
        <w:spacing w:beforeAutospacing="0" w:afterAutospacing="0"/>
        <w:ind w:firstLine="0" w:firstLineChars="0"/>
        <w:jc w:val="center"/>
        <w:outlineLvl w:val="0"/>
        <w:rPr>
          <w:rFonts w:ascii="宋体" w:hAnsi="宋体" w:eastAsia="方正小标宋简体" w:cs="方正小标宋简体"/>
          <w:bCs/>
          <w:snapToGrid/>
          <w:kern w:val="2"/>
          <w:sz w:val="44"/>
          <w:szCs w:val="44"/>
        </w:rPr>
      </w:pPr>
      <w:bookmarkStart w:id="0" w:name="_Toc29917"/>
      <w:r>
        <w:rPr>
          <w:rFonts w:hint="eastAsia" w:ascii="宋体" w:hAnsi="宋体" w:eastAsia="方正小标宋简体" w:cs="方正小标宋简体"/>
          <w:bCs/>
          <w:snapToGrid/>
          <w:kern w:val="2"/>
          <w:sz w:val="44"/>
          <w:szCs w:val="44"/>
        </w:rPr>
        <w:t>长春市宽城区卫生综合体建设项目</w:t>
      </w:r>
      <w:bookmarkEnd w:id="0"/>
    </w:p>
    <w:p w14:paraId="351F3E1B">
      <w:pPr>
        <w:pStyle w:val="11"/>
        <w:widowControl w:val="0"/>
        <w:kinsoku/>
        <w:autoSpaceDE/>
        <w:autoSpaceDN/>
        <w:adjustRightInd/>
        <w:snapToGrid/>
        <w:spacing w:beforeAutospacing="0" w:afterAutospacing="0"/>
        <w:ind w:firstLine="0" w:firstLineChars="0"/>
        <w:jc w:val="center"/>
        <w:outlineLvl w:val="0"/>
        <w:rPr>
          <w:rFonts w:ascii="宋体" w:hAnsi="宋体" w:eastAsia="方正小标宋简体" w:cs="方正小标宋简体"/>
          <w:bCs/>
          <w:snapToGrid/>
          <w:kern w:val="2"/>
          <w:sz w:val="44"/>
          <w:szCs w:val="44"/>
        </w:rPr>
      </w:pPr>
      <w:bookmarkStart w:id="1" w:name="_Toc1063"/>
      <w:r>
        <w:rPr>
          <w:rFonts w:hint="eastAsia" w:ascii="宋体" w:hAnsi="宋体" w:eastAsia="方正小标宋简体" w:cs="方正小标宋简体"/>
          <w:bCs/>
          <w:snapToGrid/>
          <w:kern w:val="2"/>
          <w:sz w:val="44"/>
          <w:szCs w:val="44"/>
        </w:rPr>
        <w:t>绩效评价报告</w:t>
      </w:r>
      <w:bookmarkEnd w:id="1"/>
    </w:p>
    <w:p w14:paraId="7D0B8C85">
      <w:pPr>
        <w:widowControl w:val="0"/>
        <w:ind w:firstLine="880"/>
        <w:rPr>
          <w:rFonts w:ascii="宋体" w:hAnsi="宋体" w:eastAsia="方正小标宋简体" w:cs="方正小标宋简体"/>
          <w:bCs/>
          <w:snapToGrid/>
          <w:kern w:val="2"/>
          <w:sz w:val="44"/>
          <w:szCs w:val="44"/>
        </w:rPr>
      </w:pPr>
    </w:p>
    <w:p w14:paraId="4AC1E76A">
      <w:pPr>
        <w:widowControl w:val="0"/>
        <w:ind w:firstLine="420"/>
        <w:rPr>
          <w:rFonts w:ascii="宋体" w:hAnsi="宋体" w:eastAsia="宋体"/>
          <w:sz w:val="21"/>
        </w:rPr>
      </w:pPr>
    </w:p>
    <w:p w14:paraId="64737ABB">
      <w:pPr>
        <w:widowControl w:val="0"/>
        <w:ind w:firstLine="420"/>
        <w:rPr>
          <w:rFonts w:ascii="宋体" w:hAnsi="宋体" w:eastAsia="宋体"/>
          <w:sz w:val="21"/>
        </w:rPr>
      </w:pPr>
    </w:p>
    <w:p w14:paraId="21F7D434">
      <w:pPr>
        <w:widowControl w:val="0"/>
        <w:ind w:firstLine="420"/>
        <w:rPr>
          <w:rFonts w:ascii="宋体" w:hAnsi="宋体" w:eastAsia="宋体"/>
          <w:sz w:val="21"/>
        </w:rPr>
      </w:pPr>
    </w:p>
    <w:p w14:paraId="2D150ABB">
      <w:pPr>
        <w:widowControl w:val="0"/>
        <w:ind w:firstLine="420"/>
        <w:rPr>
          <w:rFonts w:ascii="宋体" w:hAnsi="宋体" w:eastAsia="宋体"/>
          <w:sz w:val="21"/>
        </w:rPr>
      </w:pPr>
    </w:p>
    <w:p w14:paraId="2CAEE463">
      <w:pPr>
        <w:widowControl w:val="0"/>
        <w:ind w:firstLine="420"/>
        <w:rPr>
          <w:rFonts w:ascii="宋体" w:hAnsi="宋体" w:eastAsia="宋体"/>
          <w:sz w:val="21"/>
        </w:rPr>
      </w:pPr>
    </w:p>
    <w:p w14:paraId="71C6F211">
      <w:pPr>
        <w:pStyle w:val="11"/>
        <w:widowControl w:val="0"/>
        <w:kinsoku/>
        <w:autoSpaceDE/>
        <w:autoSpaceDN/>
        <w:adjustRightInd/>
        <w:snapToGrid/>
        <w:spacing w:beforeAutospacing="0" w:afterAutospacing="0"/>
        <w:ind w:firstLine="600"/>
        <w:rPr>
          <w:rFonts w:ascii="宋体" w:hAnsi="宋体" w:eastAsia="方正小标宋简体" w:cs="方正小标宋简体"/>
          <w:bCs/>
          <w:snapToGrid/>
          <w:kern w:val="2"/>
          <w:sz w:val="30"/>
          <w:szCs w:val="30"/>
        </w:rPr>
      </w:pPr>
    </w:p>
    <w:p w14:paraId="2B7303A6">
      <w:pPr>
        <w:pStyle w:val="11"/>
        <w:widowControl w:val="0"/>
        <w:kinsoku/>
        <w:autoSpaceDE/>
        <w:autoSpaceDN/>
        <w:adjustRightInd/>
        <w:snapToGrid/>
        <w:spacing w:before="10" w:beforeAutospacing="0" w:afterLines="150" w:afterAutospacing="0"/>
        <w:ind w:firstLine="640"/>
        <w:rPr>
          <w:rFonts w:ascii="黑体" w:hAnsi="黑体" w:eastAsia="黑体" w:cs="黑体"/>
          <w:bCs/>
          <w:snapToGrid/>
          <w:kern w:val="2"/>
          <w:sz w:val="32"/>
          <w:szCs w:val="32"/>
        </w:rPr>
      </w:pPr>
      <w:r>
        <w:rPr>
          <w:rFonts w:hint="eastAsia" w:ascii="黑体" w:hAnsi="黑体" w:eastAsia="黑体" w:cs="黑体"/>
          <w:bCs/>
          <w:snapToGrid/>
          <w:kern w:val="2"/>
          <w:sz w:val="32"/>
          <w:szCs w:val="32"/>
        </w:rPr>
        <w:t>项目名称：长春市宽城区卫生综合体建设项目</w:t>
      </w:r>
      <w:bookmarkStart w:id="160" w:name="_GoBack"/>
      <w:bookmarkEnd w:id="160"/>
    </w:p>
    <w:p w14:paraId="4675DC1B">
      <w:pPr>
        <w:pStyle w:val="11"/>
        <w:widowControl w:val="0"/>
        <w:kinsoku/>
        <w:autoSpaceDE/>
        <w:autoSpaceDN/>
        <w:adjustRightInd/>
        <w:snapToGrid/>
        <w:spacing w:before="10" w:beforeAutospacing="0" w:afterLines="150" w:afterAutospacing="0"/>
        <w:ind w:firstLine="640"/>
        <w:rPr>
          <w:rFonts w:hint="default" w:ascii="黑体" w:hAnsi="黑体" w:eastAsia="黑体" w:cs="黑体"/>
          <w:bCs/>
          <w:snapToGrid/>
          <w:kern w:val="2"/>
          <w:sz w:val="32"/>
          <w:szCs w:val="32"/>
          <w:lang w:val="en-US" w:eastAsia="zh-CN"/>
        </w:rPr>
      </w:pPr>
      <w:r>
        <w:rPr>
          <w:rFonts w:hint="eastAsia" w:ascii="黑体" w:hAnsi="黑体" w:eastAsia="黑体" w:cs="黑体"/>
          <w:bCs/>
          <w:snapToGrid/>
          <w:kern w:val="2"/>
          <w:sz w:val="32"/>
          <w:szCs w:val="32"/>
        </w:rPr>
        <w:t>主管部门：</w:t>
      </w:r>
      <w:r>
        <w:rPr>
          <w:rFonts w:hint="eastAsia" w:ascii="黑体" w:hAnsi="黑体" w:eastAsia="黑体" w:cs="黑体"/>
          <w:bCs/>
          <w:snapToGrid/>
          <w:kern w:val="2"/>
          <w:sz w:val="32"/>
          <w:szCs w:val="32"/>
          <w:lang w:val="en-US" w:eastAsia="zh-CN"/>
        </w:rPr>
        <w:t>长春市宽城区卫生健康局</w:t>
      </w:r>
    </w:p>
    <w:p w14:paraId="41539DCC">
      <w:pPr>
        <w:pStyle w:val="11"/>
        <w:widowControl w:val="0"/>
        <w:kinsoku/>
        <w:autoSpaceDE/>
        <w:autoSpaceDN/>
        <w:adjustRightInd/>
        <w:snapToGrid/>
        <w:spacing w:before="10" w:beforeAutospacing="0" w:afterLines="150" w:afterAutospacing="0"/>
        <w:ind w:firstLine="640"/>
        <w:rPr>
          <w:rFonts w:ascii="黑体" w:hAnsi="黑体" w:eastAsia="黑体" w:cs="黑体"/>
          <w:bCs/>
          <w:snapToGrid/>
          <w:kern w:val="2"/>
          <w:sz w:val="32"/>
          <w:szCs w:val="32"/>
        </w:rPr>
      </w:pPr>
      <w:r>
        <w:rPr>
          <w:rFonts w:hint="eastAsia" w:ascii="黑体" w:hAnsi="黑体" w:eastAsia="黑体" w:cs="黑体"/>
          <w:bCs/>
          <w:snapToGrid/>
          <w:kern w:val="2"/>
          <w:sz w:val="32"/>
          <w:szCs w:val="32"/>
        </w:rPr>
        <w:t>委托单位：长春宽城区经济开发区管理委员会</w:t>
      </w:r>
    </w:p>
    <w:p w14:paraId="03F209BA">
      <w:pPr>
        <w:widowControl w:val="0"/>
        <w:tabs>
          <w:tab w:val="right" w:leader="dot" w:pos="8702"/>
        </w:tabs>
        <w:spacing w:before="10" w:afterLines="150"/>
        <w:ind w:left="8" w:firstLine="640"/>
        <w:rPr>
          <w:rFonts w:ascii="黑体" w:hAnsi="黑体" w:eastAsia="黑体" w:cs="黑体"/>
          <w:bCs/>
          <w:snapToGrid/>
          <w:kern w:val="2"/>
          <w:sz w:val="32"/>
          <w:szCs w:val="32"/>
        </w:rPr>
      </w:pPr>
      <w:r>
        <w:rPr>
          <w:rFonts w:hint="eastAsia" w:ascii="黑体" w:hAnsi="黑体" w:eastAsia="黑体" w:cs="黑体"/>
          <w:bCs/>
          <w:snapToGrid/>
          <w:kern w:val="2"/>
          <w:sz w:val="32"/>
          <w:szCs w:val="32"/>
        </w:rPr>
        <w:t>评价机构：长春岳华会计师事务所（普通合伙）</w:t>
      </w:r>
    </w:p>
    <w:p w14:paraId="12FDD23D">
      <w:pPr>
        <w:widowControl w:val="0"/>
        <w:tabs>
          <w:tab w:val="right" w:leader="dot" w:pos="8702"/>
        </w:tabs>
        <w:spacing w:before="101"/>
        <w:ind w:left="8" w:firstLine="600"/>
        <w:rPr>
          <w:rFonts w:ascii="宋体" w:hAnsi="宋体" w:eastAsia="方正小标宋简体" w:cs="方正小标宋简体"/>
          <w:bCs/>
          <w:snapToGrid/>
          <w:kern w:val="2"/>
          <w:szCs w:val="30"/>
        </w:rPr>
      </w:pPr>
    </w:p>
    <w:p w14:paraId="3961628B">
      <w:pPr>
        <w:widowControl w:val="0"/>
        <w:tabs>
          <w:tab w:val="right" w:leader="dot" w:pos="8702"/>
        </w:tabs>
        <w:spacing w:before="101"/>
        <w:ind w:left="8" w:firstLine="640"/>
        <w:jc w:val="center"/>
        <w:rPr>
          <w:rFonts w:ascii="黑体" w:hAnsi="黑体" w:eastAsia="黑体" w:cs="黑体"/>
          <w:bCs/>
          <w:snapToGrid/>
          <w:kern w:val="2"/>
          <w:sz w:val="32"/>
          <w:szCs w:val="32"/>
        </w:rPr>
      </w:pPr>
      <w:r>
        <w:rPr>
          <w:rFonts w:hint="eastAsia" w:ascii="黑体" w:hAnsi="黑体" w:eastAsia="黑体" w:cs="黑体"/>
          <w:bCs/>
          <w:snapToGrid/>
          <w:kern w:val="2"/>
          <w:sz w:val="32"/>
          <w:szCs w:val="32"/>
        </w:rPr>
        <w:t>二〇二</w:t>
      </w:r>
      <w:r>
        <w:rPr>
          <w:rFonts w:hint="eastAsia" w:ascii="黑体" w:hAnsi="黑体" w:eastAsia="黑体" w:cs="黑体"/>
          <w:bCs/>
          <w:snapToGrid/>
          <w:kern w:val="2"/>
          <w:sz w:val="32"/>
          <w:szCs w:val="32"/>
          <w:lang w:val="en-US" w:eastAsia="zh-CN"/>
        </w:rPr>
        <w:t>五</w:t>
      </w:r>
      <w:r>
        <w:rPr>
          <w:rFonts w:hint="eastAsia" w:ascii="黑体" w:hAnsi="黑体" w:eastAsia="黑体" w:cs="黑体"/>
          <w:bCs/>
          <w:snapToGrid/>
          <w:kern w:val="2"/>
          <w:sz w:val="32"/>
          <w:szCs w:val="32"/>
        </w:rPr>
        <w:t>年五月</w:t>
      </w:r>
    </w:p>
    <w:p w14:paraId="52C2EFF1">
      <w:pPr>
        <w:widowControl w:val="0"/>
        <w:ind w:firstLine="0" w:firstLineChars="0"/>
        <w:rPr>
          <w:rFonts w:ascii="宋体" w:hAnsi="宋体" w:eastAsia="方正小标宋简体" w:cs="方正小标宋简体"/>
          <w:spacing w:val="-4"/>
          <w:sz w:val="36"/>
          <w:szCs w:val="36"/>
        </w:rPr>
      </w:pPr>
    </w:p>
    <w:p w14:paraId="37F4C40D">
      <w:pPr>
        <w:spacing w:beforeLines="150" w:afterLines="150" w:line="240" w:lineRule="auto"/>
        <w:ind w:firstLine="0" w:firstLineChars="0"/>
        <w:jc w:val="center"/>
        <w:rPr>
          <w:rFonts w:ascii="宋体" w:hAnsi="宋体"/>
        </w:rPr>
      </w:pPr>
      <w:r>
        <w:rPr>
          <w:rFonts w:hint="eastAsia" w:ascii="宋体" w:hAnsi="宋体" w:eastAsia="方正小标宋简体" w:cs="方正小标宋简体"/>
          <w:sz w:val="36"/>
          <w:szCs w:val="36"/>
        </w:rPr>
        <w:t>目录</w:t>
      </w:r>
    </w:p>
    <w:p w14:paraId="2023E55D">
      <w:pPr>
        <w:pStyle w:val="9"/>
        <w:tabs>
          <w:tab w:val="right" w:leader="dot" w:pos="8306"/>
        </w:tabs>
      </w:pPr>
      <w:r>
        <w:rPr>
          <w:rFonts w:ascii="宋体" w:hAnsi="宋体"/>
        </w:rPr>
        <w:fldChar w:fldCharType="begin"/>
      </w:r>
      <w:r>
        <w:rPr>
          <w:rFonts w:ascii="宋体" w:hAnsi="宋体"/>
        </w:rPr>
        <w:instrText xml:space="preserve">TOC \o "1-3" \h \u </w:instrText>
      </w:r>
      <w:r>
        <w:rPr>
          <w:rFonts w:ascii="宋体" w:hAnsi="宋体"/>
        </w:rPr>
        <w:fldChar w:fldCharType="separate"/>
      </w:r>
      <w:r>
        <w:rPr>
          <w:rFonts w:ascii="宋体" w:hAnsi="宋体"/>
        </w:rPr>
        <w:fldChar w:fldCharType="begin"/>
      </w:r>
      <w:r>
        <w:rPr>
          <w:rFonts w:ascii="宋体" w:hAnsi="宋体"/>
        </w:rPr>
        <w:instrText xml:space="preserve"> HYPERLINK \l _Toc29917 </w:instrText>
      </w:r>
      <w:r>
        <w:rPr>
          <w:rFonts w:ascii="宋体" w:hAnsi="宋体"/>
        </w:rPr>
        <w:fldChar w:fldCharType="separate"/>
      </w:r>
      <w:r>
        <w:rPr>
          <w:rFonts w:hint="eastAsia" w:ascii="宋体" w:hAnsi="宋体" w:eastAsia="方正小标宋简体" w:cs="方正小标宋简体"/>
          <w:bCs/>
          <w:snapToGrid/>
          <w:kern w:val="2"/>
          <w:szCs w:val="44"/>
        </w:rPr>
        <w:t>长春市宽城区卫生综合体建设项目</w:t>
      </w:r>
      <w:r>
        <w:tab/>
      </w:r>
      <w:r>
        <w:fldChar w:fldCharType="begin"/>
      </w:r>
      <w:r>
        <w:instrText xml:space="preserve"> PAGEREF _Toc29917 \h </w:instrText>
      </w:r>
      <w:r>
        <w:fldChar w:fldCharType="separate"/>
      </w:r>
      <w:r>
        <w:t>1</w:t>
      </w:r>
      <w:r>
        <w:fldChar w:fldCharType="end"/>
      </w:r>
      <w:r>
        <w:rPr>
          <w:rFonts w:ascii="宋体" w:hAnsi="宋体"/>
        </w:rPr>
        <w:fldChar w:fldCharType="end"/>
      </w:r>
    </w:p>
    <w:p w14:paraId="376F76FD">
      <w:pPr>
        <w:pStyle w:val="9"/>
        <w:tabs>
          <w:tab w:val="right" w:leader="dot" w:pos="8306"/>
        </w:tabs>
      </w:pPr>
      <w:r>
        <w:rPr>
          <w:rFonts w:ascii="宋体" w:hAnsi="宋体"/>
        </w:rPr>
        <w:fldChar w:fldCharType="begin"/>
      </w:r>
      <w:r>
        <w:rPr>
          <w:rFonts w:ascii="宋体" w:hAnsi="宋体"/>
        </w:rPr>
        <w:instrText xml:space="preserve"> HYPERLINK \l _Toc26424 </w:instrText>
      </w:r>
      <w:r>
        <w:rPr>
          <w:rFonts w:ascii="宋体" w:hAnsi="宋体"/>
        </w:rPr>
        <w:fldChar w:fldCharType="separate"/>
      </w:r>
      <w:r>
        <w:rPr>
          <w:rFonts w:hint="eastAsia" w:ascii="宋体" w:hAnsi="宋体"/>
        </w:rPr>
        <w:t>一、项目概况</w:t>
      </w:r>
      <w:r>
        <w:tab/>
      </w:r>
      <w:r>
        <w:fldChar w:fldCharType="begin"/>
      </w:r>
      <w:r>
        <w:instrText xml:space="preserve"> PAGEREF _Toc26424 \h </w:instrText>
      </w:r>
      <w:r>
        <w:fldChar w:fldCharType="separate"/>
      </w:r>
      <w:r>
        <w:t>2</w:t>
      </w:r>
      <w:r>
        <w:fldChar w:fldCharType="end"/>
      </w:r>
      <w:r>
        <w:rPr>
          <w:rFonts w:ascii="宋体" w:hAnsi="宋体"/>
        </w:rPr>
        <w:fldChar w:fldCharType="end"/>
      </w:r>
    </w:p>
    <w:p w14:paraId="515DF0C2">
      <w:pPr>
        <w:pStyle w:val="10"/>
        <w:tabs>
          <w:tab w:val="right" w:leader="dot" w:pos="8306"/>
        </w:tabs>
      </w:pPr>
      <w:r>
        <w:rPr>
          <w:rFonts w:ascii="宋体" w:hAnsi="宋体"/>
        </w:rPr>
        <w:fldChar w:fldCharType="begin"/>
      </w:r>
      <w:r>
        <w:rPr>
          <w:rFonts w:ascii="宋体" w:hAnsi="宋体"/>
        </w:rPr>
        <w:instrText xml:space="preserve"> HYPERLINK \l _Toc491 </w:instrText>
      </w:r>
      <w:r>
        <w:rPr>
          <w:rFonts w:ascii="宋体" w:hAnsi="宋体"/>
        </w:rPr>
        <w:fldChar w:fldCharType="separate"/>
      </w:r>
      <w:r>
        <w:rPr>
          <w:rFonts w:hint="eastAsia" w:ascii="宋体" w:hAnsi="宋体"/>
        </w:rPr>
        <w:t>（一）项目立项的背景和目标</w:t>
      </w:r>
      <w:r>
        <w:tab/>
      </w:r>
      <w:r>
        <w:fldChar w:fldCharType="begin"/>
      </w:r>
      <w:r>
        <w:instrText xml:space="preserve"> PAGEREF _Toc491 \h </w:instrText>
      </w:r>
      <w:r>
        <w:fldChar w:fldCharType="separate"/>
      </w:r>
      <w:r>
        <w:t>2</w:t>
      </w:r>
      <w:r>
        <w:fldChar w:fldCharType="end"/>
      </w:r>
      <w:r>
        <w:rPr>
          <w:rFonts w:ascii="宋体" w:hAnsi="宋体"/>
        </w:rPr>
        <w:fldChar w:fldCharType="end"/>
      </w:r>
    </w:p>
    <w:p w14:paraId="532BC4D7">
      <w:pPr>
        <w:pStyle w:val="6"/>
        <w:tabs>
          <w:tab w:val="right" w:leader="dot" w:pos="8306"/>
        </w:tabs>
      </w:pPr>
      <w:r>
        <w:rPr>
          <w:rFonts w:ascii="宋体" w:hAnsi="宋体"/>
        </w:rPr>
        <w:fldChar w:fldCharType="begin"/>
      </w:r>
      <w:r>
        <w:rPr>
          <w:rFonts w:ascii="宋体" w:hAnsi="宋体"/>
        </w:rPr>
        <w:instrText xml:space="preserve"> HYPERLINK \l _Toc16910 </w:instrText>
      </w:r>
      <w:r>
        <w:rPr>
          <w:rFonts w:ascii="宋体" w:hAnsi="宋体"/>
        </w:rPr>
        <w:fldChar w:fldCharType="separate"/>
      </w:r>
      <w:r>
        <w:rPr>
          <w:rFonts w:hint="eastAsia" w:ascii="宋体" w:hAnsi="宋体"/>
        </w:rPr>
        <w:t>1.项目立项的背景</w:t>
      </w:r>
      <w:r>
        <w:tab/>
      </w:r>
      <w:r>
        <w:fldChar w:fldCharType="begin"/>
      </w:r>
      <w:r>
        <w:instrText xml:space="preserve"> PAGEREF _Toc16910 \h </w:instrText>
      </w:r>
      <w:r>
        <w:fldChar w:fldCharType="separate"/>
      </w:r>
      <w:r>
        <w:t>2</w:t>
      </w:r>
      <w:r>
        <w:fldChar w:fldCharType="end"/>
      </w:r>
      <w:r>
        <w:rPr>
          <w:rFonts w:ascii="宋体" w:hAnsi="宋体"/>
        </w:rPr>
        <w:fldChar w:fldCharType="end"/>
      </w:r>
    </w:p>
    <w:p w14:paraId="4995A969">
      <w:pPr>
        <w:pStyle w:val="6"/>
        <w:tabs>
          <w:tab w:val="right" w:leader="dot" w:pos="8306"/>
        </w:tabs>
      </w:pPr>
      <w:r>
        <w:rPr>
          <w:rFonts w:ascii="宋体" w:hAnsi="宋体"/>
        </w:rPr>
        <w:fldChar w:fldCharType="begin"/>
      </w:r>
      <w:r>
        <w:rPr>
          <w:rFonts w:ascii="宋体" w:hAnsi="宋体"/>
        </w:rPr>
        <w:instrText xml:space="preserve"> HYPERLINK \l _Toc32030 </w:instrText>
      </w:r>
      <w:r>
        <w:rPr>
          <w:rFonts w:ascii="宋体" w:hAnsi="宋体"/>
        </w:rPr>
        <w:fldChar w:fldCharType="separate"/>
      </w:r>
      <w:r>
        <w:rPr>
          <w:rFonts w:hint="eastAsia" w:ascii="宋体" w:hAnsi="宋体"/>
        </w:rPr>
        <w:t>2.项目实施单位基本情况</w:t>
      </w:r>
      <w:r>
        <w:tab/>
      </w:r>
      <w:r>
        <w:fldChar w:fldCharType="begin"/>
      </w:r>
      <w:r>
        <w:instrText xml:space="preserve"> PAGEREF _Toc32030 \h </w:instrText>
      </w:r>
      <w:r>
        <w:fldChar w:fldCharType="separate"/>
      </w:r>
      <w:r>
        <w:t>3</w:t>
      </w:r>
      <w:r>
        <w:fldChar w:fldCharType="end"/>
      </w:r>
      <w:r>
        <w:rPr>
          <w:rFonts w:ascii="宋体" w:hAnsi="宋体"/>
        </w:rPr>
        <w:fldChar w:fldCharType="end"/>
      </w:r>
    </w:p>
    <w:p w14:paraId="727B5F6B">
      <w:pPr>
        <w:pStyle w:val="6"/>
        <w:tabs>
          <w:tab w:val="right" w:leader="dot" w:pos="8306"/>
        </w:tabs>
      </w:pPr>
      <w:r>
        <w:rPr>
          <w:rFonts w:ascii="宋体" w:hAnsi="宋体"/>
        </w:rPr>
        <w:fldChar w:fldCharType="begin"/>
      </w:r>
      <w:r>
        <w:rPr>
          <w:rFonts w:ascii="宋体" w:hAnsi="宋体"/>
        </w:rPr>
        <w:instrText xml:space="preserve"> HYPERLINK \l _Toc5367 </w:instrText>
      </w:r>
      <w:r>
        <w:rPr>
          <w:rFonts w:ascii="宋体" w:hAnsi="宋体"/>
        </w:rPr>
        <w:fldChar w:fldCharType="separate"/>
      </w:r>
      <w:r>
        <w:rPr>
          <w:rFonts w:hint="eastAsia" w:ascii="宋体" w:hAnsi="宋体"/>
        </w:rPr>
        <w:t>3.项目实施内容</w:t>
      </w:r>
      <w:r>
        <w:tab/>
      </w:r>
      <w:r>
        <w:fldChar w:fldCharType="begin"/>
      </w:r>
      <w:r>
        <w:instrText xml:space="preserve"> PAGEREF _Toc5367 \h </w:instrText>
      </w:r>
      <w:r>
        <w:fldChar w:fldCharType="separate"/>
      </w:r>
      <w:r>
        <w:t>3</w:t>
      </w:r>
      <w:r>
        <w:fldChar w:fldCharType="end"/>
      </w:r>
      <w:r>
        <w:rPr>
          <w:rFonts w:ascii="宋体" w:hAnsi="宋体"/>
        </w:rPr>
        <w:fldChar w:fldCharType="end"/>
      </w:r>
    </w:p>
    <w:p w14:paraId="0FF22FD9">
      <w:pPr>
        <w:pStyle w:val="6"/>
        <w:tabs>
          <w:tab w:val="right" w:leader="dot" w:pos="8306"/>
        </w:tabs>
      </w:pPr>
      <w:r>
        <w:rPr>
          <w:rFonts w:ascii="宋体" w:hAnsi="宋体"/>
        </w:rPr>
        <w:fldChar w:fldCharType="begin"/>
      </w:r>
      <w:r>
        <w:rPr>
          <w:rFonts w:ascii="宋体" w:hAnsi="宋体"/>
        </w:rPr>
        <w:instrText xml:space="preserve"> HYPERLINK \l _Toc4 </w:instrText>
      </w:r>
      <w:r>
        <w:rPr>
          <w:rFonts w:ascii="宋体" w:hAnsi="宋体"/>
        </w:rPr>
        <w:fldChar w:fldCharType="separate"/>
      </w:r>
      <w:r>
        <w:rPr>
          <w:rFonts w:hint="eastAsia" w:ascii="宋体" w:hAnsi="宋体"/>
        </w:rPr>
        <w:t>4.项目实施情况</w:t>
      </w:r>
      <w:r>
        <w:tab/>
      </w:r>
      <w:r>
        <w:fldChar w:fldCharType="begin"/>
      </w:r>
      <w:r>
        <w:instrText xml:space="preserve"> PAGEREF _Toc4 \h </w:instrText>
      </w:r>
      <w:r>
        <w:fldChar w:fldCharType="separate"/>
      </w:r>
      <w:r>
        <w:t>4</w:t>
      </w:r>
      <w:r>
        <w:fldChar w:fldCharType="end"/>
      </w:r>
      <w:r>
        <w:rPr>
          <w:rFonts w:ascii="宋体" w:hAnsi="宋体"/>
        </w:rPr>
        <w:fldChar w:fldCharType="end"/>
      </w:r>
    </w:p>
    <w:p w14:paraId="0BAFD111">
      <w:pPr>
        <w:pStyle w:val="6"/>
        <w:tabs>
          <w:tab w:val="right" w:leader="dot" w:pos="8306"/>
        </w:tabs>
      </w:pPr>
      <w:r>
        <w:rPr>
          <w:rFonts w:ascii="宋体" w:hAnsi="宋体"/>
        </w:rPr>
        <w:fldChar w:fldCharType="begin"/>
      </w:r>
      <w:r>
        <w:rPr>
          <w:rFonts w:ascii="宋体" w:hAnsi="宋体"/>
        </w:rPr>
        <w:instrText xml:space="preserve"> HYPERLINK \l _Toc15875 </w:instrText>
      </w:r>
      <w:r>
        <w:rPr>
          <w:rFonts w:ascii="宋体" w:hAnsi="宋体"/>
        </w:rPr>
        <w:fldChar w:fldCharType="separate"/>
      </w:r>
      <w:r>
        <w:rPr>
          <w:rFonts w:hint="eastAsia" w:ascii="宋体" w:hAnsi="宋体"/>
        </w:rPr>
        <w:t>5.资金筹措及到位情况</w:t>
      </w:r>
      <w:r>
        <w:tab/>
      </w:r>
      <w:r>
        <w:fldChar w:fldCharType="begin"/>
      </w:r>
      <w:r>
        <w:instrText xml:space="preserve"> PAGEREF _Toc15875 \h </w:instrText>
      </w:r>
      <w:r>
        <w:fldChar w:fldCharType="separate"/>
      </w:r>
      <w:r>
        <w:t>4</w:t>
      </w:r>
      <w:r>
        <w:fldChar w:fldCharType="end"/>
      </w:r>
      <w:r>
        <w:rPr>
          <w:rFonts w:ascii="宋体" w:hAnsi="宋体"/>
        </w:rPr>
        <w:fldChar w:fldCharType="end"/>
      </w:r>
    </w:p>
    <w:p w14:paraId="7B95EAAE">
      <w:pPr>
        <w:pStyle w:val="10"/>
        <w:tabs>
          <w:tab w:val="right" w:leader="dot" w:pos="8306"/>
        </w:tabs>
      </w:pPr>
      <w:r>
        <w:rPr>
          <w:rFonts w:ascii="宋体" w:hAnsi="宋体"/>
        </w:rPr>
        <w:fldChar w:fldCharType="begin"/>
      </w:r>
      <w:r>
        <w:rPr>
          <w:rFonts w:ascii="宋体" w:hAnsi="宋体"/>
        </w:rPr>
        <w:instrText xml:space="preserve"> HYPERLINK \l _Toc454 </w:instrText>
      </w:r>
      <w:r>
        <w:rPr>
          <w:rFonts w:ascii="宋体" w:hAnsi="宋体"/>
        </w:rPr>
        <w:fldChar w:fldCharType="separate"/>
      </w:r>
      <w:r>
        <w:rPr>
          <w:rFonts w:hint="eastAsia" w:ascii="宋体" w:hAnsi="宋体"/>
        </w:rPr>
        <w:t>（二）项目绩效目标</w:t>
      </w:r>
      <w:r>
        <w:tab/>
      </w:r>
      <w:r>
        <w:fldChar w:fldCharType="begin"/>
      </w:r>
      <w:r>
        <w:instrText xml:space="preserve"> PAGEREF _Toc454 \h </w:instrText>
      </w:r>
      <w:r>
        <w:fldChar w:fldCharType="separate"/>
      </w:r>
      <w:r>
        <w:t>5</w:t>
      </w:r>
      <w:r>
        <w:fldChar w:fldCharType="end"/>
      </w:r>
      <w:r>
        <w:rPr>
          <w:rFonts w:ascii="宋体" w:hAnsi="宋体"/>
        </w:rPr>
        <w:fldChar w:fldCharType="end"/>
      </w:r>
    </w:p>
    <w:p w14:paraId="14CD9B6B">
      <w:pPr>
        <w:pStyle w:val="6"/>
        <w:tabs>
          <w:tab w:val="right" w:leader="dot" w:pos="8306"/>
        </w:tabs>
      </w:pPr>
      <w:r>
        <w:rPr>
          <w:rFonts w:ascii="宋体" w:hAnsi="宋体"/>
        </w:rPr>
        <w:fldChar w:fldCharType="begin"/>
      </w:r>
      <w:r>
        <w:rPr>
          <w:rFonts w:ascii="宋体" w:hAnsi="宋体"/>
        </w:rPr>
        <w:instrText xml:space="preserve"> HYPERLINK \l _Toc2987 </w:instrText>
      </w:r>
      <w:r>
        <w:rPr>
          <w:rFonts w:ascii="宋体" w:hAnsi="宋体"/>
        </w:rPr>
        <w:fldChar w:fldCharType="separate"/>
      </w:r>
      <w:r>
        <w:rPr>
          <w:rFonts w:hint="eastAsia" w:ascii="宋体" w:hAnsi="宋体"/>
        </w:rPr>
        <w:t>1.总体目标</w:t>
      </w:r>
      <w:r>
        <w:tab/>
      </w:r>
      <w:r>
        <w:fldChar w:fldCharType="begin"/>
      </w:r>
      <w:r>
        <w:instrText xml:space="preserve"> PAGEREF _Toc2987 \h </w:instrText>
      </w:r>
      <w:r>
        <w:fldChar w:fldCharType="separate"/>
      </w:r>
      <w:r>
        <w:t>5</w:t>
      </w:r>
      <w:r>
        <w:fldChar w:fldCharType="end"/>
      </w:r>
      <w:r>
        <w:rPr>
          <w:rFonts w:ascii="宋体" w:hAnsi="宋体"/>
        </w:rPr>
        <w:fldChar w:fldCharType="end"/>
      </w:r>
    </w:p>
    <w:p w14:paraId="63A99449">
      <w:pPr>
        <w:pStyle w:val="6"/>
        <w:tabs>
          <w:tab w:val="right" w:leader="dot" w:pos="8306"/>
        </w:tabs>
      </w:pPr>
      <w:r>
        <w:rPr>
          <w:rFonts w:ascii="宋体" w:hAnsi="宋体"/>
        </w:rPr>
        <w:fldChar w:fldCharType="begin"/>
      </w:r>
      <w:r>
        <w:rPr>
          <w:rFonts w:ascii="宋体" w:hAnsi="宋体"/>
        </w:rPr>
        <w:instrText xml:space="preserve"> HYPERLINK \l _Toc17187 </w:instrText>
      </w:r>
      <w:r>
        <w:rPr>
          <w:rFonts w:ascii="宋体" w:hAnsi="宋体"/>
        </w:rPr>
        <w:fldChar w:fldCharType="separate"/>
      </w:r>
      <w:r>
        <w:rPr>
          <w:rFonts w:hint="eastAsia" w:ascii="宋体" w:hAnsi="宋体"/>
        </w:rPr>
        <w:t>2.年度目标</w:t>
      </w:r>
      <w:r>
        <w:tab/>
      </w:r>
      <w:r>
        <w:fldChar w:fldCharType="begin"/>
      </w:r>
      <w:r>
        <w:instrText xml:space="preserve"> PAGEREF _Toc2987 \h </w:instrText>
      </w:r>
      <w:r>
        <w:fldChar w:fldCharType="separate"/>
      </w:r>
      <w:r>
        <w:t>5</w:t>
      </w:r>
      <w:r>
        <w:fldChar w:fldCharType="end"/>
      </w:r>
      <w:r>
        <w:rPr>
          <w:rFonts w:ascii="宋体" w:hAnsi="宋体"/>
        </w:rPr>
        <w:fldChar w:fldCharType="end"/>
      </w:r>
    </w:p>
    <w:p w14:paraId="647C7853">
      <w:pPr>
        <w:pStyle w:val="9"/>
        <w:tabs>
          <w:tab w:val="right" w:leader="dot" w:pos="8306"/>
        </w:tabs>
      </w:pPr>
      <w:r>
        <w:rPr>
          <w:rFonts w:ascii="宋体" w:hAnsi="宋体"/>
        </w:rPr>
        <w:fldChar w:fldCharType="begin"/>
      </w:r>
      <w:r>
        <w:rPr>
          <w:rFonts w:ascii="宋体" w:hAnsi="宋体"/>
        </w:rPr>
        <w:instrText xml:space="preserve"> HYPERLINK \l _Toc23344 </w:instrText>
      </w:r>
      <w:r>
        <w:rPr>
          <w:rFonts w:ascii="宋体" w:hAnsi="宋体"/>
        </w:rPr>
        <w:fldChar w:fldCharType="separate"/>
      </w:r>
      <w:r>
        <w:rPr>
          <w:rFonts w:hint="eastAsia" w:ascii="宋体" w:hAnsi="宋体"/>
        </w:rPr>
        <w:t>二、绩效评价工作开展情况</w:t>
      </w:r>
      <w:r>
        <w:tab/>
      </w:r>
      <w:r>
        <w:fldChar w:fldCharType="begin"/>
      </w:r>
      <w:r>
        <w:instrText xml:space="preserve"> PAGEREF _Toc23344 \h </w:instrText>
      </w:r>
      <w:r>
        <w:fldChar w:fldCharType="separate"/>
      </w:r>
      <w:r>
        <w:t>6</w:t>
      </w:r>
      <w:r>
        <w:fldChar w:fldCharType="end"/>
      </w:r>
      <w:r>
        <w:rPr>
          <w:rFonts w:ascii="宋体" w:hAnsi="宋体"/>
        </w:rPr>
        <w:fldChar w:fldCharType="end"/>
      </w:r>
    </w:p>
    <w:p w14:paraId="389DA141">
      <w:pPr>
        <w:pStyle w:val="10"/>
        <w:tabs>
          <w:tab w:val="right" w:leader="dot" w:pos="8306"/>
        </w:tabs>
      </w:pPr>
      <w:r>
        <w:rPr>
          <w:rFonts w:ascii="宋体" w:hAnsi="宋体"/>
        </w:rPr>
        <w:fldChar w:fldCharType="begin"/>
      </w:r>
      <w:r>
        <w:rPr>
          <w:rFonts w:ascii="宋体" w:hAnsi="宋体"/>
        </w:rPr>
        <w:instrText xml:space="preserve"> HYPERLINK \l _Toc9027 </w:instrText>
      </w:r>
      <w:r>
        <w:rPr>
          <w:rFonts w:ascii="宋体" w:hAnsi="宋体"/>
        </w:rPr>
        <w:fldChar w:fldCharType="separate"/>
      </w:r>
      <w:r>
        <w:rPr>
          <w:rFonts w:hint="eastAsia" w:ascii="宋体" w:hAnsi="宋体"/>
        </w:rPr>
        <w:t>（一）绩效评价目的、对象和范围</w:t>
      </w:r>
      <w:r>
        <w:tab/>
      </w:r>
      <w:r>
        <w:fldChar w:fldCharType="begin"/>
      </w:r>
      <w:r>
        <w:instrText xml:space="preserve"> PAGEREF _Toc9027 \h </w:instrText>
      </w:r>
      <w:r>
        <w:fldChar w:fldCharType="separate"/>
      </w:r>
      <w:r>
        <w:t>6</w:t>
      </w:r>
      <w:r>
        <w:fldChar w:fldCharType="end"/>
      </w:r>
      <w:r>
        <w:rPr>
          <w:rFonts w:ascii="宋体" w:hAnsi="宋体"/>
        </w:rPr>
        <w:fldChar w:fldCharType="end"/>
      </w:r>
    </w:p>
    <w:p w14:paraId="7F9F2B0A">
      <w:pPr>
        <w:pStyle w:val="6"/>
        <w:tabs>
          <w:tab w:val="right" w:leader="dot" w:pos="8306"/>
        </w:tabs>
      </w:pPr>
      <w:r>
        <w:rPr>
          <w:rFonts w:ascii="宋体" w:hAnsi="宋体"/>
        </w:rPr>
        <w:fldChar w:fldCharType="begin"/>
      </w:r>
      <w:r>
        <w:rPr>
          <w:rFonts w:ascii="宋体" w:hAnsi="宋体"/>
        </w:rPr>
        <w:instrText xml:space="preserve"> HYPERLINK \l _Toc18179 </w:instrText>
      </w:r>
      <w:r>
        <w:rPr>
          <w:rFonts w:ascii="宋体" w:hAnsi="宋体"/>
        </w:rPr>
        <w:fldChar w:fldCharType="separate"/>
      </w:r>
      <w:r>
        <w:rPr>
          <w:rFonts w:hint="eastAsia" w:ascii="宋体" w:hAnsi="宋体"/>
        </w:rPr>
        <w:t>1.评价目的</w:t>
      </w:r>
      <w:r>
        <w:tab/>
      </w:r>
      <w:r>
        <w:fldChar w:fldCharType="begin"/>
      </w:r>
      <w:r>
        <w:instrText xml:space="preserve"> PAGEREF _Toc18179 \h </w:instrText>
      </w:r>
      <w:r>
        <w:fldChar w:fldCharType="separate"/>
      </w:r>
      <w:r>
        <w:t>6</w:t>
      </w:r>
      <w:r>
        <w:fldChar w:fldCharType="end"/>
      </w:r>
      <w:r>
        <w:rPr>
          <w:rFonts w:ascii="宋体" w:hAnsi="宋体"/>
        </w:rPr>
        <w:fldChar w:fldCharType="end"/>
      </w:r>
    </w:p>
    <w:p w14:paraId="1E0CEEB9">
      <w:pPr>
        <w:pStyle w:val="6"/>
        <w:tabs>
          <w:tab w:val="right" w:leader="dot" w:pos="8306"/>
        </w:tabs>
      </w:pPr>
      <w:r>
        <w:rPr>
          <w:rFonts w:ascii="宋体" w:hAnsi="宋体"/>
        </w:rPr>
        <w:fldChar w:fldCharType="begin"/>
      </w:r>
      <w:r>
        <w:rPr>
          <w:rFonts w:ascii="宋体" w:hAnsi="宋体"/>
        </w:rPr>
        <w:instrText xml:space="preserve"> HYPERLINK \l _Toc4360 </w:instrText>
      </w:r>
      <w:r>
        <w:rPr>
          <w:rFonts w:ascii="宋体" w:hAnsi="宋体"/>
        </w:rPr>
        <w:fldChar w:fldCharType="separate"/>
      </w:r>
      <w:r>
        <w:rPr>
          <w:rFonts w:hint="eastAsia" w:ascii="宋体" w:hAnsi="宋体"/>
        </w:rPr>
        <w:t>2.评价对象</w:t>
      </w:r>
      <w:r>
        <w:tab/>
      </w:r>
      <w:r>
        <w:fldChar w:fldCharType="begin"/>
      </w:r>
      <w:r>
        <w:instrText xml:space="preserve"> PAGEREF _Toc4360 \h </w:instrText>
      </w:r>
      <w:r>
        <w:fldChar w:fldCharType="separate"/>
      </w:r>
      <w:r>
        <w:t>6</w:t>
      </w:r>
      <w:r>
        <w:fldChar w:fldCharType="end"/>
      </w:r>
      <w:r>
        <w:rPr>
          <w:rFonts w:ascii="宋体" w:hAnsi="宋体"/>
        </w:rPr>
        <w:fldChar w:fldCharType="end"/>
      </w:r>
    </w:p>
    <w:p w14:paraId="0A550355">
      <w:pPr>
        <w:pStyle w:val="6"/>
        <w:tabs>
          <w:tab w:val="right" w:leader="dot" w:pos="8306"/>
        </w:tabs>
      </w:pPr>
      <w:r>
        <w:rPr>
          <w:rFonts w:ascii="宋体" w:hAnsi="宋体"/>
        </w:rPr>
        <w:fldChar w:fldCharType="begin"/>
      </w:r>
      <w:r>
        <w:rPr>
          <w:rFonts w:ascii="宋体" w:hAnsi="宋体"/>
        </w:rPr>
        <w:instrText xml:space="preserve"> HYPERLINK \l _Toc22423 </w:instrText>
      </w:r>
      <w:r>
        <w:rPr>
          <w:rFonts w:ascii="宋体" w:hAnsi="宋体"/>
        </w:rPr>
        <w:fldChar w:fldCharType="separate"/>
      </w:r>
      <w:r>
        <w:rPr>
          <w:rFonts w:hint="eastAsia" w:ascii="宋体" w:hAnsi="宋体"/>
        </w:rPr>
        <w:t>3.评价范围</w:t>
      </w:r>
      <w:r>
        <w:tab/>
      </w:r>
      <w:r>
        <w:fldChar w:fldCharType="begin"/>
      </w:r>
      <w:r>
        <w:instrText xml:space="preserve"> PAGEREF _Toc22423 \h </w:instrText>
      </w:r>
      <w:r>
        <w:fldChar w:fldCharType="separate"/>
      </w:r>
      <w:r>
        <w:t>6</w:t>
      </w:r>
      <w:r>
        <w:fldChar w:fldCharType="end"/>
      </w:r>
      <w:r>
        <w:rPr>
          <w:rFonts w:ascii="宋体" w:hAnsi="宋体"/>
        </w:rPr>
        <w:fldChar w:fldCharType="end"/>
      </w:r>
    </w:p>
    <w:p w14:paraId="2F55EE0A">
      <w:pPr>
        <w:pStyle w:val="10"/>
        <w:tabs>
          <w:tab w:val="right" w:leader="dot" w:pos="8306"/>
        </w:tabs>
      </w:pPr>
      <w:r>
        <w:rPr>
          <w:rFonts w:ascii="宋体" w:hAnsi="宋体"/>
        </w:rPr>
        <w:fldChar w:fldCharType="begin"/>
      </w:r>
      <w:r>
        <w:rPr>
          <w:rFonts w:ascii="宋体" w:hAnsi="宋体"/>
        </w:rPr>
        <w:instrText xml:space="preserve"> HYPERLINK \l _Toc2244 </w:instrText>
      </w:r>
      <w:r>
        <w:rPr>
          <w:rFonts w:ascii="宋体" w:hAnsi="宋体"/>
        </w:rPr>
        <w:fldChar w:fldCharType="separate"/>
      </w:r>
      <w:r>
        <w:rPr>
          <w:rFonts w:hint="eastAsia" w:ascii="宋体" w:hAnsi="宋体"/>
        </w:rPr>
        <w:t>（二） 绩效评价依据</w:t>
      </w:r>
      <w:r>
        <w:tab/>
      </w:r>
      <w:r>
        <w:fldChar w:fldCharType="begin"/>
      </w:r>
      <w:r>
        <w:instrText xml:space="preserve"> PAGEREF _Toc2244 \h </w:instrText>
      </w:r>
      <w:r>
        <w:fldChar w:fldCharType="separate"/>
      </w:r>
      <w:r>
        <w:t>6</w:t>
      </w:r>
      <w:r>
        <w:fldChar w:fldCharType="end"/>
      </w:r>
      <w:r>
        <w:rPr>
          <w:rFonts w:ascii="宋体" w:hAnsi="宋体"/>
        </w:rPr>
        <w:fldChar w:fldCharType="end"/>
      </w:r>
    </w:p>
    <w:p w14:paraId="394265F3">
      <w:pPr>
        <w:pStyle w:val="10"/>
        <w:tabs>
          <w:tab w:val="right" w:leader="dot" w:pos="8306"/>
        </w:tabs>
      </w:pPr>
      <w:r>
        <w:rPr>
          <w:rFonts w:ascii="宋体" w:hAnsi="宋体"/>
        </w:rPr>
        <w:fldChar w:fldCharType="begin"/>
      </w:r>
      <w:r>
        <w:rPr>
          <w:rFonts w:ascii="宋体" w:hAnsi="宋体"/>
        </w:rPr>
        <w:instrText xml:space="preserve"> HYPERLINK \l _Toc20128 </w:instrText>
      </w:r>
      <w:r>
        <w:rPr>
          <w:rFonts w:ascii="宋体" w:hAnsi="宋体"/>
        </w:rPr>
        <w:fldChar w:fldCharType="separate"/>
      </w:r>
      <w:r>
        <w:rPr>
          <w:rFonts w:hint="eastAsia" w:ascii="宋体" w:hAnsi="宋体"/>
        </w:rPr>
        <w:t>（三）绩效评价原则</w:t>
      </w:r>
      <w:r>
        <w:tab/>
      </w:r>
      <w:r>
        <w:fldChar w:fldCharType="begin"/>
      </w:r>
      <w:r>
        <w:instrText xml:space="preserve"> PAGEREF _Toc20128 \h </w:instrText>
      </w:r>
      <w:r>
        <w:fldChar w:fldCharType="separate"/>
      </w:r>
      <w:r>
        <w:t>8</w:t>
      </w:r>
      <w:r>
        <w:fldChar w:fldCharType="end"/>
      </w:r>
      <w:r>
        <w:rPr>
          <w:rFonts w:ascii="宋体" w:hAnsi="宋体"/>
        </w:rPr>
        <w:fldChar w:fldCharType="end"/>
      </w:r>
    </w:p>
    <w:p w14:paraId="5F1B4281">
      <w:pPr>
        <w:pStyle w:val="6"/>
        <w:tabs>
          <w:tab w:val="right" w:leader="dot" w:pos="8306"/>
        </w:tabs>
      </w:pPr>
      <w:r>
        <w:rPr>
          <w:rFonts w:ascii="宋体" w:hAnsi="宋体"/>
        </w:rPr>
        <w:fldChar w:fldCharType="begin"/>
      </w:r>
      <w:r>
        <w:rPr>
          <w:rFonts w:ascii="宋体" w:hAnsi="宋体"/>
        </w:rPr>
        <w:instrText xml:space="preserve"> HYPERLINK \l _Toc30992 </w:instrText>
      </w:r>
      <w:r>
        <w:rPr>
          <w:rFonts w:ascii="宋体" w:hAnsi="宋体"/>
        </w:rPr>
        <w:fldChar w:fldCharType="separate"/>
      </w:r>
      <w:r>
        <w:rPr>
          <w:rFonts w:hint="eastAsia" w:ascii="宋体" w:hAnsi="宋体"/>
        </w:rPr>
        <w:t>1.科学规范</w:t>
      </w:r>
      <w:r>
        <w:tab/>
      </w:r>
      <w:r>
        <w:fldChar w:fldCharType="begin"/>
      </w:r>
      <w:r>
        <w:instrText xml:space="preserve"> PAGEREF _Toc30992 \h </w:instrText>
      </w:r>
      <w:r>
        <w:fldChar w:fldCharType="separate"/>
      </w:r>
      <w:r>
        <w:t>8</w:t>
      </w:r>
      <w:r>
        <w:fldChar w:fldCharType="end"/>
      </w:r>
      <w:r>
        <w:rPr>
          <w:rFonts w:ascii="宋体" w:hAnsi="宋体"/>
        </w:rPr>
        <w:fldChar w:fldCharType="end"/>
      </w:r>
    </w:p>
    <w:p w14:paraId="28F9FC3B">
      <w:pPr>
        <w:pStyle w:val="6"/>
        <w:tabs>
          <w:tab w:val="right" w:leader="dot" w:pos="8306"/>
        </w:tabs>
      </w:pPr>
      <w:r>
        <w:rPr>
          <w:rFonts w:ascii="宋体" w:hAnsi="宋体"/>
        </w:rPr>
        <w:fldChar w:fldCharType="begin"/>
      </w:r>
      <w:r>
        <w:rPr>
          <w:rFonts w:ascii="宋体" w:hAnsi="宋体"/>
        </w:rPr>
        <w:instrText xml:space="preserve"> HYPERLINK \l _Toc11558 </w:instrText>
      </w:r>
      <w:r>
        <w:rPr>
          <w:rFonts w:ascii="宋体" w:hAnsi="宋体"/>
        </w:rPr>
        <w:fldChar w:fldCharType="separate"/>
      </w:r>
      <w:r>
        <w:rPr>
          <w:rFonts w:hint="eastAsia" w:ascii="宋体" w:hAnsi="宋体"/>
        </w:rPr>
        <w:t>2.协同配合</w:t>
      </w:r>
      <w:r>
        <w:tab/>
      </w:r>
      <w:r>
        <w:fldChar w:fldCharType="begin"/>
      </w:r>
      <w:r>
        <w:instrText xml:space="preserve"> PAGEREF _Toc11558 \h </w:instrText>
      </w:r>
      <w:r>
        <w:fldChar w:fldCharType="separate"/>
      </w:r>
      <w:r>
        <w:t>8</w:t>
      </w:r>
      <w:r>
        <w:fldChar w:fldCharType="end"/>
      </w:r>
      <w:r>
        <w:rPr>
          <w:rFonts w:ascii="宋体" w:hAnsi="宋体"/>
        </w:rPr>
        <w:fldChar w:fldCharType="end"/>
      </w:r>
    </w:p>
    <w:p w14:paraId="0F7248C2">
      <w:pPr>
        <w:pStyle w:val="6"/>
        <w:tabs>
          <w:tab w:val="right" w:leader="dot" w:pos="8306"/>
        </w:tabs>
      </w:pPr>
      <w:r>
        <w:rPr>
          <w:rFonts w:ascii="宋体" w:hAnsi="宋体"/>
        </w:rPr>
        <w:fldChar w:fldCharType="begin"/>
      </w:r>
      <w:r>
        <w:rPr>
          <w:rFonts w:ascii="宋体" w:hAnsi="宋体"/>
        </w:rPr>
        <w:instrText xml:space="preserve"> HYPERLINK \l _Toc16482 </w:instrText>
      </w:r>
      <w:r>
        <w:rPr>
          <w:rFonts w:ascii="宋体" w:hAnsi="宋体"/>
        </w:rPr>
        <w:fldChar w:fldCharType="separate"/>
      </w:r>
      <w:r>
        <w:rPr>
          <w:rFonts w:hint="eastAsia" w:ascii="宋体" w:hAnsi="宋体"/>
        </w:rPr>
        <w:t>3.公开透明</w:t>
      </w:r>
      <w:r>
        <w:tab/>
      </w:r>
      <w:r>
        <w:fldChar w:fldCharType="begin"/>
      </w:r>
      <w:r>
        <w:instrText xml:space="preserve"> PAGEREF _Toc16482 \h </w:instrText>
      </w:r>
      <w:r>
        <w:fldChar w:fldCharType="separate"/>
      </w:r>
      <w:r>
        <w:t>8</w:t>
      </w:r>
      <w:r>
        <w:fldChar w:fldCharType="end"/>
      </w:r>
      <w:r>
        <w:rPr>
          <w:rFonts w:ascii="宋体" w:hAnsi="宋体"/>
        </w:rPr>
        <w:fldChar w:fldCharType="end"/>
      </w:r>
    </w:p>
    <w:p w14:paraId="5FAA081C">
      <w:pPr>
        <w:pStyle w:val="6"/>
        <w:tabs>
          <w:tab w:val="right" w:leader="dot" w:pos="8306"/>
        </w:tabs>
      </w:pPr>
      <w:r>
        <w:rPr>
          <w:rFonts w:ascii="宋体" w:hAnsi="宋体"/>
        </w:rPr>
        <w:fldChar w:fldCharType="begin"/>
      </w:r>
      <w:r>
        <w:rPr>
          <w:rFonts w:ascii="宋体" w:hAnsi="宋体"/>
        </w:rPr>
        <w:instrText xml:space="preserve"> HYPERLINK \l _Toc23338 </w:instrText>
      </w:r>
      <w:r>
        <w:rPr>
          <w:rFonts w:ascii="宋体" w:hAnsi="宋体"/>
        </w:rPr>
        <w:fldChar w:fldCharType="separate"/>
      </w:r>
      <w:r>
        <w:rPr>
          <w:rFonts w:hint="eastAsia" w:ascii="宋体" w:hAnsi="宋体"/>
        </w:rPr>
        <w:t>4.强化运用</w:t>
      </w:r>
      <w:r>
        <w:tab/>
      </w:r>
      <w:r>
        <w:fldChar w:fldCharType="begin"/>
      </w:r>
      <w:r>
        <w:instrText xml:space="preserve"> PAGEREF _Toc23338 \h </w:instrText>
      </w:r>
      <w:r>
        <w:fldChar w:fldCharType="separate"/>
      </w:r>
      <w:r>
        <w:t>8</w:t>
      </w:r>
      <w:r>
        <w:fldChar w:fldCharType="end"/>
      </w:r>
      <w:r>
        <w:rPr>
          <w:rFonts w:ascii="宋体" w:hAnsi="宋体"/>
        </w:rPr>
        <w:fldChar w:fldCharType="end"/>
      </w:r>
    </w:p>
    <w:p w14:paraId="62052691">
      <w:pPr>
        <w:pStyle w:val="10"/>
        <w:tabs>
          <w:tab w:val="right" w:leader="dot" w:pos="8306"/>
        </w:tabs>
      </w:pPr>
      <w:r>
        <w:rPr>
          <w:rFonts w:ascii="宋体" w:hAnsi="宋体"/>
        </w:rPr>
        <w:fldChar w:fldCharType="begin"/>
      </w:r>
      <w:r>
        <w:rPr>
          <w:rFonts w:ascii="宋体" w:hAnsi="宋体"/>
        </w:rPr>
        <w:instrText xml:space="preserve"> HYPERLINK \l _Toc9357 </w:instrText>
      </w:r>
      <w:r>
        <w:rPr>
          <w:rFonts w:ascii="宋体" w:hAnsi="宋体"/>
        </w:rPr>
        <w:fldChar w:fldCharType="separate"/>
      </w:r>
      <w:r>
        <w:rPr>
          <w:rFonts w:hint="eastAsia" w:ascii="宋体" w:hAnsi="宋体"/>
        </w:rPr>
        <w:t>（四）评价指标体系、评价方法、评价标准</w:t>
      </w:r>
      <w:r>
        <w:tab/>
      </w:r>
      <w:r>
        <w:fldChar w:fldCharType="begin"/>
      </w:r>
      <w:r>
        <w:instrText xml:space="preserve"> PAGEREF _Toc9357 \h </w:instrText>
      </w:r>
      <w:r>
        <w:fldChar w:fldCharType="separate"/>
      </w:r>
      <w:r>
        <w:t>8</w:t>
      </w:r>
      <w:r>
        <w:fldChar w:fldCharType="end"/>
      </w:r>
      <w:r>
        <w:rPr>
          <w:rFonts w:ascii="宋体" w:hAnsi="宋体"/>
        </w:rPr>
        <w:fldChar w:fldCharType="end"/>
      </w:r>
    </w:p>
    <w:p w14:paraId="6CB97841">
      <w:pPr>
        <w:pStyle w:val="6"/>
        <w:tabs>
          <w:tab w:val="right" w:leader="dot" w:pos="8306"/>
        </w:tabs>
      </w:pPr>
      <w:r>
        <w:rPr>
          <w:rFonts w:ascii="宋体" w:hAnsi="宋体"/>
        </w:rPr>
        <w:fldChar w:fldCharType="begin"/>
      </w:r>
      <w:r>
        <w:rPr>
          <w:rFonts w:ascii="宋体" w:hAnsi="宋体"/>
        </w:rPr>
        <w:instrText xml:space="preserve"> HYPERLINK \l _Toc30111 </w:instrText>
      </w:r>
      <w:r>
        <w:rPr>
          <w:rFonts w:ascii="宋体" w:hAnsi="宋体"/>
        </w:rPr>
        <w:fldChar w:fldCharType="separate"/>
      </w:r>
      <w:r>
        <w:rPr>
          <w:rFonts w:hint="eastAsia" w:ascii="宋体" w:hAnsi="宋体"/>
        </w:rPr>
        <w:t>1.评价指标体系</w:t>
      </w:r>
      <w:r>
        <w:tab/>
      </w:r>
      <w:r>
        <w:fldChar w:fldCharType="begin"/>
      </w:r>
      <w:r>
        <w:instrText xml:space="preserve"> PAGEREF _Toc30111 \h </w:instrText>
      </w:r>
      <w:r>
        <w:fldChar w:fldCharType="separate"/>
      </w:r>
      <w:r>
        <w:t>8</w:t>
      </w:r>
      <w:r>
        <w:fldChar w:fldCharType="end"/>
      </w:r>
      <w:r>
        <w:rPr>
          <w:rFonts w:ascii="宋体" w:hAnsi="宋体"/>
        </w:rPr>
        <w:fldChar w:fldCharType="end"/>
      </w:r>
    </w:p>
    <w:p w14:paraId="6995BF7B">
      <w:pPr>
        <w:pStyle w:val="6"/>
        <w:tabs>
          <w:tab w:val="right" w:leader="dot" w:pos="8306"/>
        </w:tabs>
      </w:pPr>
      <w:r>
        <w:rPr>
          <w:rFonts w:ascii="宋体" w:hAnsi="宋体"/>
        </w:rPr>
        <w:fldChar w:fldCharType="begin"/>
      </w:r>
      <w:r>
        <w:rPr>
          <w:rFonts w:ascii="宋体" w:hAnsi="宋体"/>
        </w:rPr>
        <w:instrText xml:space="preserve"> HYPERLINK \l _Toc19300 </w:instrText>
      </w:r>
      <w:r>
        <w:rPr>
          <w:rFonts w:ascii="宋体" w:hAnsi="宋体"/>
        </w:rPr>
        <w:fldChar w:fldCharType="separate"/>
      </w:r>
      <w:r>
        <w:rPr>
          <w:rFonts w:hint="eastAsia" w:ascii="宋体" w:hAnsi="宋体"/>
        </w:rPr>
        <w:t>2.评价方法</w:t>
      </w:r>
      <w:r>
        <w:tab/>
      </w:r>
      <w:r>
        <w:fldChar w:fldCharType="begin"/>
      </w:r>
      <w:r>
        <w:instrText xml:space="preserve"> PAGEREF _Toc19300 \h </w:instrText>
      </w:r>
      <w:r>
        <w:fldChar w:fldCharType="separate"/>
      </w:r>
      <w:r>
        <w:t>9</w:t>
      </w:r>
      <w:r>
        <w:fldChar w:fldCharType="end"/>
      </w:r>
      <w:r>
        <w:rPr>
          <w:rFonts w:ascii="宋体" w:hAnsi="宋体"/>
        </w:rPr>
        <w:fldChar w:fldCharType="end"/>
      </w:r>
    </w:p>
    <w:p w14:paraId="678D8B65">
      <w:pPr>
        <w:pStyle w:val="6"/>
        <w:tabs>
          <w:tab w:val="right" w:leader="dot" w:pos="8306"/>
        </w:tabs>
      </w:pPr>
      <w:r>
        <w:rPr>
          <w:rFonts w:ascii="宋体" w:hAnsi="宋体"/>
        </w:rPr>
        <w:fldChar w:fldCharType="begin"/>
      </w:r>
      <w:r>
        <w:rPr>
          <w:rFonts w:ascii="宋体" w:hAnsi="宋体"/>
        </w:rPr>
        <w:instrText xml:space="preserve"> HYPERLINK \l _Toc15639 </w:instrText>
      </w:r>
      <w:r>
        <w:rPr>
          <w:rFonts w:ascii="宋体" w:hAnsi="宋体"/>
        </w:rPr>
        <w:fldChar w:fldCharType="separate"/>
      </w:r>
      <w:r>
        <w:rPr>
          <w:rFonts w:hint="eastAsia" w:ascii="宋体" w:hAnsi="宋体"/>
        </w:rPr>
        <w:t>3.评价标准</w:t>
      </w:r>
      <w:r>
        <w:tab/>
      </w:r>
      <w:r>
        <w:fldChar w:fldCharType="begin"/>
      </w:r>
      <w:r>
        <w:instrText xml:space="preserve"> PAGEREF _Toc15639 \h </w:instrText>
      </w:r>
      <w:r>
        <w:fldChar w:fldCharType="separate"/>
      </w:r>
      <w:r>
        <w:t>9</w:t>
      </w:r>
      <w:r>
        <w:fldChar w:fldCharType="end"/>
      </w:r>
      <w:r>
        <w:rPr>
          <w:rFonts w:ascii="宋体" w:hAnsi="宋体"/>
        </w:rPr>
        <w:fldChar w:fldCharType="end"/>
      </w:r>
    </w:p>
    <w:p w14:paraId="6EAD2900">
      <w:pPr>
        <w:pStyle w:val="10"/>
        <w:tabs>
          <w:tab w:val="right" w:leader="dot" w:pos="8306"/>
        </w:tabs>
      </w:pPr>
      <w:r>
        <w:rPr>
          <w:rFonts w:ascii="宋体" w:hAnsi="宋体"/>
        </w:rPr>
        <w:fldChar w:fldCharType="begin"/>
      </w:r>
      <w:r>
        <w:rPr>
          <w:rFonts w:ascii="宋体" w:hAnsi="宋体"/>
        </w:rPr>
        <w:instrText xml:space="preserve"> HYPERLINK \l _Toc25902 </w:instrText>
      </w:r>
      <w:r>
        <w:rPr>
          <w:rFonts w:ascii="宋体" w:hAnsi="宋体"/>
        </w:rPr>
        <w:fldChar w:fldCharType="separate"/>
      </w:r>
      <w:r>
        <w:rPr>
          <w:rFonts w:hint="eastAsia" w:ascii="宋体" w:hAnsi="宋体"/>
        </w:rPr>
        <w:t>（五）绩效评价工作过程</w:t>
      </w:r>
      <w:r>
        <w:tab/>
      </w:r>
      <w:r>
        <w:fldChar w:fldCharType="begin"/>
      </w:r>
      <w:r>
        <w:instrText xml:space="preserve"> PAGEREF _Toc25902 \h </w:instrText>
      </w:r>
      <w:r>
        <w:fldChar w:fldCharType="separate"/>
      </w:r>
      <w:r>
        <w:t>10</w:t>
      </w:r>
      <w:r>
        <w:fldChar w:fldCharType="end"/>
      </w:r>
      <w:r>
        <w:rPr>
          <w:rFonts w:ascii="宋体" w:hAnsi="宋体"/>
        </w:rPr>
        <w:fldChar w:fldCharType="end"/>
      </w:r>
    </w:p>
    <w:p w14:paraId="269D8052">
      <w:pPr>
        <w:pStyle w:val="9"/>
        <w:tabs>
          <w:tab w:val="right" w:leader="dot" w:pos="8306"/>
        </w:tabs>
      </w:pPr>
      <w:r>
        <w:rPr>
          <w:rFonts w:ascii="宋体" w:hAnsi="宋体"/>
        </w:rPr>
        <w:fldChar w:fldCharType="begin"/>
      </w:r>
      <w:r>
        <w:rPr>
          <w:rFonts w:ascii="宋体" w:hAnsi="宋体"/>
        </w:rPr>
        <w:instrText xml:space="preserve"> HYPERLINK \l _Toc12998 </w:instrText>
      </w:r>
      <w:r>
        <w:rPr>
          <w:rFonts w:ascii="宋体" w:hAnsi="宋体"/>
        </w:rPr>
        <w:fldChar w:fldCharType="separate"/>
      </w:r>
      <w:r>
        <w:rPr>
          <w:rFonts w:hint="eastAsia" w:ascii="宋体" w:hAnsi="宋体"/>
        </w:rPr>
        <w:t>三、综合评价情况及评价结论</w:t>
      </w:r>
      <w:r>
        <w:tab/>
      </w:r>
      <w:r>
        <w:fldChar w:fldCharType="begin"/>
      </w:r>
      <w:r>
        <w:instrText xml:space="preserve"> PAGEREF _Toc12998 \h </w:instrText>
      </w:r>
      <w:r>
        <w:fldChar w:fldCharType="separate"/>
      </w:r>
      <w:r>
        <w:t>11</w:t>
      </w:r>
      <w:r>
        <w:fldChar w:fldCharType="end"/>
      </w:r>
      <w:r>
        <w:rPr>
          <w:rFonts w:ascii="宋体" w:hAnsi="宋体"/>
        </w:rPr>
        <w:fldChar w:fldCharType="end"/>
      </w:r>
    </w:p>
    <w:p w14:paraId="00C558A9">
      <w:pPr>
        <w:pStyle w:val="9"/>
        <w:tabs>
          <w:tab w:val="right" w:leader="dot" w:pos="8306"/>
        </w:tabs>
      </w:pPr>
      <w:r>
        <w:rPr>
          <w:rFonts w:ascii="宋体" w:hAnsi="宋体"/>
        </w:rPr>
        <w:fldChar w:fldCharType="begin"/>
      </w:r>
      <w:r>
        <w:rPr>
          <w:rFonts w:ascii="宋体" w:hAnsi="宋体"/>
        </w:rPr>
        <w:instrText xml:space="preserve"> HYPERLINK \l _Toc21 </w:instrText>
      </w:r>
      <w:r>
        <w:rPr>
          <w:rFonts w:ascii="宋体" w:hAnsi="宋体"/>
        </w:rPr>
        <w:fldChar w:fldCharType="separate"/>
      </w:r>
      <w:r>
        <w:rPr>
          <w:rFonts w:hint="eastAsia" w:ascii="宋体" w:hAnsi="宋体"/>
        </w:rPr>
        <w:t>四、绩效评价指标分析</w:t>
      </w:r>
      <w:r>
        <w:tab/>
      </w:r>
      <w:r>
        <w:fldChar w:fldCharType="begin"/>
      </w:r>
      <w:r>
        <w:instrText xml:space="preserve"> PAGEREF _Toc21 \h </w:instrText>
      </w:r>
      <w:r>
        <w:fldChar w:fldCharType="separate"/>
      </w:r>
      <w:r>
        <w:t>12</w:t>
      </w:r>
      <w:r>
        <w:fldChar w:fldCharType="end"/>
      </w:r>
      <w:r>
        <w:rPr>
          <w:rFonts w:ascii="宋体" w:hAnsi="宋体"/>
        </w:rPr>
        <w:fldChar w:fldCharType="end"/>
      </w:r>
    </w:p>
    <w:p w14:paraId="14BB7865">
      <w:pPr>
        <w:pStyle w:val="10"/>
        <w:tabs>
          <w:tab w:val="right" w:leader="dot" w:pos="8306"/>
        </w:tabs>
      </w:pPr>
      <w:r>
        <w:rPr>
          <w:rFonts w:ascii="宋体" w:hAnsi="宋体"/>
        </w:rPr>
        <w:fldChar w:fldCharType="begin"/>
      </w:r>
      <w:r>
        <w:rPr>
          <w:rFonts w:ascii="宋体" w:hAnsi="宋体"/>
        </w:rPr>
        <w:instrText xml:space="preserve"> HYPERLINK \l _Toc7893 </w:instrText>
      </w:r>
      <w:r>
        <w:rPr>
          <w:rFonts w:ascii="宋体" w:hAnsi="宋体"/>
        </w:rPr>
        <w:fldChar w:fldCharType="separate"/>
      </w:r>
      <w:r>
        <w:rPr>
          <w:rFonts w:hint="eastAsia" w:ascii="宋体" w:hAnsi="宋体"/>
        </w:rPr>
        <w:t>（一）决策情况分析</w:t>
      </w:r>
      <w:r>
        <w:tab/>
      </w:r>
      <w:r>
        <w:fldChar w:fldCharType="begin"/>
      </w:r>
      <w:r>
        <w:instrText xml:space="preserve"> PAGEREF _Toc7893 \h </w:instrText>
      </w:r>
      <w:r>
        <w:fldChar w:fldCharType="separate"/>
      </w:r>
      <w:r>
        <w:t>12</w:t>
      </w:r>
      <w:r>
        <w:fldChar w:fldCharType="end"/>
      </w:r>
      <w:r>
        <w:rPr>
          <w:rFonts w:ascii="宋体" w:hAnsi="宋体"/>
        </w:rPr>
        <w:fldChar w:fldCharType="end"/>
      </w:r>
    </w:p>
    <w:p w14:paraId="7EDEF7AC">
      <w:pPr>
        <w:pStyle w:val="6"/>
        <w:tabs>
          <w:tab w:val="right" w:leader="dot" w:pos="8306"/>
        </w:tabs>
      </w:pPr>
      <w:r>
        <w:rPr>
          <w:rFonts w:ascii="宋体" w:hAnsi="宋体"/>
        </w:rPr>
        <w:fldChar w:fldCharType="begin"/>
      </w:r>
      <w:r>
        <w:rPr>
          <w:rFonts w:ascii="宋体" w:hAnsi="宋体"/>
        </w:rPr>
        <w:instrText xml:space="preserve"> HYPERLINK \l _Toc29623 </w:instrText>
      </w:r>
      <w:r>
        <w:rPr>
          <w:rFonts w:ascii="宋体" w:hAnsi="宋体"/>
        </w:rPr>
        <w:fldChar w:fldCharType="separate"/>
      </w:r>
      <w:r>
        <w:rPr>
          <w:rFonts w:hint="eastAsia" w:ascii="宋体" w:hAnsi="宋体"/>
        </w:rPr>
        <w:t>1.项目立项</w:t>
      </w:r>
      <w:r>
        <w:tab/>
      </w:r>
      <w:r>
        <w:fldChar w:fldCharType="begin"/>
      </w:r>
      <w:r>
        <w:instrText xml:space="preserve"> PAGEREF _Toc29623 \h </w:instrText>
      </w:r>
      <w:r>
        <w:fldChar w:fldCharType="separate"/>
      </w:r>
      <w:r>
        <w:t>12</w:t>
      </w:r>
      <w:r>
        <w:fldChar w:fldCharType="end"/>
      </w:r>
      <w:r>
        <w:rPr>
          <w:rFonts w:ascii="宋体" w:hAnsi="宋体"/>
        </w:rPr>
        <w:fldChar w:fldCharType="end"/>
      </w:r>
    </w:p>
    <w:p w14:paraId="0DD5957F">
      <w:pPr>
        <w:pStyle w:val="6"/>
        <w:tabs>
          <w:tab w:val="right" w:leader="dot" w:pos="8306"/>
        </w:tabs>
      </w:pPr>
      <w:r>
        <w:rPr>
          <w:rFonts w:ascii="宋体" w:hAnsi="宋体"/>
        </w:rPr>
        <w:fldChar w:fldCharType="begin"/>
      </w:r>
      <w:r>
        <w:rPr>
          <w:rFonts w:ascii="宋体" w:hAnsi="宋体"/>
        </w:rPr>
        <w:instrText xml:space="preserve"> HYPERLINK \l _Toc21021 </w:instrText>
      </w:r>
      <w:r>
        <w:rPr>
          <w:rFonts w:ascii="宋体" w:hAnsi="宋体"/>
        </w:rPr>
        <w:fldChar w:fldCharType="separate"/>
      </w:r>
      <w:r>
        <w:rPr>
          <w:rFonts w:hint="eastAsia" w:ascii="宋体" w:hAnsi="宋体"/>
        </w:rPr>
        <w:t>2.绩效目标</w:t>
      </w:r>
      <w:r>
        <w:tab/>
      </w:r>
      <w:r>
        <w:fldChar w:fldCharType="begin"/>
      </w:r>
      <w:r>
        <w:instrText xml:space="preserve"> PAGEREF _Toc21021 \h </w:instrText>
      </w:r>
      <w:r>
        <w:fldChar w:fldCharType="separate"/>
      </w:r>
      <w:r>
        <w:t>13</w:t>
      </w:r>
      <w:r>
        <w:fldChar w:fldCharType="end"/>
      </w:r>
      <w:r>
        <w:rPr>
          <w:rFonts w:ascii="宋体" w:hAnsi="宋体"/>
        </w:rPr>
        <w:fldChar w:fldCharType="end"/>
      </w:r>
    </w:p>
    <w:p w14:paraId="7BE3DD3D">
      <w:pPr>
        <w:pStyle w:val="6"/>
        <w:tabs>
          <w:tab w:val="right" w:leader="dot" w:pos="8306"/>
        </w:tabs>
      </w:pPr>
      <w:r>
        <w:rPr>
          <w:rFonts w:ascii="宋体" w:hAnsi="宋体"/>
        </w:rPr>
        <w:fldChar w:fldCharType="begin"/>
      </w:r>
      <w:r>
        <w:rPr>
          <w:rFonts w:ascii="宋体" w:hAnsi="宋体"/>
        </w:rPr>
        <w:instrText xml:space="preserve"> HYPERLINK \l _Toc3704 </w:instrText>
      </w:r>
      <w:r>
        <w:rPr>
          <w:rFonts w:ascii="宋体" w:hAnsi="宋体"/>
        </w:rPr>
        <w:fldChar w:fldCharType="separate"/>
      </w:r>
      <w:r>
        <w:rPr>
          <w:rFonts w:hint="eastAsia" w:ascii="宋体" w:hAnsi="宋体"/>
        </w:rPr>
        <w:t>3.资金分配</w:t>
      </w:r>
      <w:r>
        <w:tab/>
      </w:r>
      <w:r>
        <w:fldChar w:fldCharType="begin"/>
      </w:r>
      <w:r>
        <w:instrText xml:space="preserve"> PAGEREF _Toc3704 \h </w:instrText>
      </w:r>
      <w:r>
        <w:fldChar w:fldCharType="separate"/>
      </w:r>
      <w:r>
        <w:t>14</w:t>
      </w:r>
      <w:r>
        <w:fldChar w:fldCharType="end"/>
      </w:r>
      <w:r>
        <w:rPr>
          <w:rFonts w:ascii="宋体" w:hAnsi="宋体"/>
        </w:rPr>
        <w:fldChar w:fldCharType="end"/>
      </w:r>
    </w:p>
    <w:p w14:paraId="55862212">
      <w:pPr>
        <w:pStyle w:val="10"/>
        <w:tabs>
          <w:tab w:val="right" w:leader="dot" w:pos="8306"/>
        </w:tabs>
      </w:pPr>
      <w:r>
        <w:rPr>
          <w:rFonts w:ascii="宋体" w:hAnsi="宋体"/>
        </w:rPr>
        <w:fldChar w:fldCharType="begin"/>
      </w:r>
      <w:r>
        <w:rPr>
          <w:rFonts w:ascii="宋体" w:hAnsi="宋体"/>
        </w:rPr>
        <w:instrText xml:space="preserve"> HYPERLINK \l _Toc18097 </w:instrText>
      </w:r>
      <w:r>
        <w:rPr>
          <w:rFonts w:ascii="宋体" w:hAnsi="宋体"/>
        </w:rPr>
        <w:fldChar w:fldCharType="separate"/>
      </w:r>
      <w:r>
        <w:rPr>
          <w:rFonts w:hint="eastAsia" w:ascii="宋体" w:hAnsi="宋体"/>
        </w:rPr>
        <w:t>（二）管理情况分析</w:t>
      </w:r>
      <w:r>
        <w:tab/>
      </w:r>
      <w:r>
        <w:fldChar w:fldCharType="begin"/>
      </w:r>
      <w:r>
        <w:instrText xml:space="preserve"> PAGEREF _Toc18097 \h </w:instrText>
      </w:r>
      <w:r>
        <w:fldChar w:fldCharType="separate"/>
      </w:r>
      <w:r>
        <w:t>14</w:t>
      </w:r>
      <w:r>
        <w:fldChar w:fldCharType="end"/>
      </w:r>
      <w:r>
        <w:rPr>
          <w:rFonts w:ascii="宋体" w:hAnsi="宋体"/>
        </w:rPr>
        <w:fldChar w:fldCharType="end"/>
      </w:r>
    </w:p>
    <w:p w14:paraId="45BB718A">
      <w:pPr>
        <w:pStyle w:val="6"/>
        <w:tabs>
          <w:tab w:val="right" w:leader="dot" w:pos="8306"/>
        </w:tabs>
      </w:pPr>
      <w:r>
        <w:rPr>
          <w:rFonts w:ascii="宋体" w:hAnsi="宋体"/>
        </w:rPr>
        <w:fldChar w:fldCharType="begin"/>
      </w:r>
      <w:r>
        <w:rPr>
          <w:rFonts w:ascii="宋体" w:hAnsi="宋体"/>
        </w:rPr>
        <w:instrText xml:space="preserve"> HYPERLINK \l _Toc14932 </w:instrText>
      </w:r>
      <w:r>
        <w:rPr>
          <w:rFonts w:ascii="宋体" w:hAnsi="宋体"/>
        </w:rPr>
        <w:fldChar w:fldCharType="separate"/>
      </w:r>
      <w:r>
        <w:rPr>
          <w:rFonts w:hint="eastAsia" w:ascii="宋体" w:hAnsi="宋体"/>
        </w:rPr>
        <w:t>1.组织实施</w:t>
      </w:r>
      <w:r>
        <w:tab/>
      </w:r>
      <w:r>
        <w:fldChar w:fldCharType="begin"/>
      </w:r>
      <w:r>
        <w:instrText xml:space="preserve"> PAGEREF _Toc14932 \h </w:instrText>
      </w:r>
      <w:r>
        <w:fldChar w:fldCharType="separate"/>
      </w:r>
      <w:r>
        <w:t>15</w:t>
      </w:r>
      <w:r>
        <w:fldChar w:fldCharType="end"/>
      </w:r>
      <w:r>
        <w:rPr>
          <w:rFonts w:ascii="宋体" w:hAnsi="宋体"/>
        </w:rPr>
        <w:fldChar w:fldCharType="end"/>
      </w:r>
    </w:p>
    <w:p w14:paraId="27AA58E8">
      <w:pPr>
        <w:pStyle w:val="6"/>
        <w:tabs>
          <w:tab w:val="right" w:leader="dot" w:pos="8306"/>
        </w:tabs>
      </w:pPr>
      <w:r>
        <w:rPr>
          <w:rFonts w:ascii="宋体" w:hAnsi="宋体"/>
        </w:rPr>
        <w:fldChar w:fldCharType="begin"/>
      </w:r>
      <w:r>
        <w:rPr>
          <w:rFonts w:ascii="宋体" w:hAnsi="宋体"/>
        </w:rPr>
        <w:instrText xml:space="preserve"> HYPERLINK \l _Toc7666 </w:instrText>
      </w:r>
      <w:r>
        <w:rPr>
          <w:rFonts w:ascii="宋体" w:hAnsi="宋体"/>
        </w:rPr>
        <w:fldChar w:fldCharType="separate"/>
      </w:r>
      <w:r>
        <w:rPr>
          <w:rFonts w:hint="eastAsia" w:ascii="宋体" w:hAnsi="宋体"/>
        </w:rPr>
        <w:t>2.资金管理</w:t>
      </w:r>
      <w:r>
        <w:tab/>
      </w:r>
      <w:r>
        <w:fldChar w:fldCharType="begin"/>
      </w:r>
      <w:r>
        <w:instrText xml:space="preserve"> PAGEREF _Toc7666 \h </w:instrText>
      </w:r>
      <w:r>
        <w:fldChar w:fldCharType="separate"/>
      </w:r>
      <w:r>
        <w:t>15</w:t>
      </w:r>
      <w:r>
        <w:fldChar w:fldCharType="end"/>
      </w:r>
      <w:r>
        <w:rPr>
          <w:rFonts w:ascii="宋体" w:hAnsi="宋体"/>
        </w:rPr>
        <w:fldChar w:fldCharType="end"/>
      </w:r>
    </w:p>
    <w:p w14:paraId="0E8AB3EE">
      <w:pPr>
        <w:pStyle w:val="10"/>
        <w:tabs>
          <w:tab w:val="right" w:leader="dot" w:pos="8306"/>
        </w:tabs>
      </w:pPr>
      <w:r>
        <w:rPr>
          <w:rFonts w:ascii="宋体" w:hAnsi="宋体"/>
        </w:rPr>
        <w:fldChar w:fldCharType="begin"/>
      </w:r>
      <w:r>
        <w:rPr>
          <w:rFonts w:ascii="宋体" w:hAnsi="宋体"/>
        </w:rPr>
        <w:instrText xml:space="preserve"> HYPERLINK \l _Toc15672 </w:instrText>
      </w:r>
      <w:r>
        <w:rPr>
          <w:rFonts w:ascii="宋体" w:hAnsi="宋体"/>
        </w:rPr>
        <w:fldChar w:fldCharType="separate"/>
      </w:r>
      <w:r>
        <w:rPr>
          <w:rFonts w:hint="eastAsia" w:ascii="宋体" w:hAnsi="宋体"/>
        </w:rPr>
        <w:t>（三）产出情况分析</w:t>
      </w:r>
      <w:r>
        <w:tab/>
      </w:r>
      <w:r>
        <w:fldChar w:fldCharType="begin"/>
      </w:r>
      <w:r>
        <w:instrText xml:space="preserve"> PAGEREF _Toc15672 \h </w:instrText>
      </w:r>
      <w:r>
        <w:fldChar w:fldCharType="separate"/>
      </w:r>
      <w:r>
        <w:t>16</w:t>
      </w:r>
      <w:r>
        <w:fldChar w:fldCharType="end"/>
      </w:r>
      <w:r>
        <w:rPr>
          <w:rFonts w:ascii="宋体" w:hAnsi="宋体"/>
        </w:rPr>
        <w:fldChar w:fldCharType="end"/>
      </w:r>
    </w:p>
    <w:p w14:paraId="30196F05">
      <w:pPr>
        <w:pStyle w:val="6"/>
        <w:tabs>
          <w:tab w:val="right" w:leader="dot" w:pos="8306"/>
        </w:tabs>
      </w:pPr>
      <w:r>
        <w:rPr>
          <w:rFonts w:ascii="宋体" w:hAnsi="宋体"/>
        </w:rPr>
        <w:fldChar w:fldCharType="begin"/>
      </w:r>
      <w:r>
        <w:rPr>
          <w:rFonts w:ascii="宋体" w:hAnsi="宋体"/>
        </w:rPr>
        <w:instrText xml:space="preserve"> HYPERLINK \l _Toc12281 </w:instrText>
      </w:r>
      <w:r>
        <w:rPr>
          <w:rFonts w:ascii="宋体" w:hAnsi="宋体"/>
        </w:rPr>
        <w:fldChar w:fldCharType="separate"/>
      </w:r>
      <w:r>
        <w:rPr>
          <w:rFonts w:hint="eastAsia" w:ascii="宋体" w:hAnsi="宋体"/>
          <w:highlight w:val="none"/>
        </w:rPr>
        <w:t>1.产出数量</w:t>
      </w:r>
      <w:r>
        <w:tab/>
      </w:r>
      <w:r>
        <w:fldChar w:fldCharType="begin"/>
      </w:r>
      <w:r>
        <w:instrText xml:space="preserve"> PAGEREF _Toc12281 \h </w:instrText>
      </w:r>
      <w:r>
        <w:fldChar w:fldCharType="separate"/>
      </w:r>
      <w:r>
        <w:t>16</w:t>
      </w:r>
      <w:r>
        <w:fldChar w:fldCharType="end"/>
      </w:r>
      <w:r>
        <w:rPr>
          <w:rFonts w:ascii="宋体" w:hAnsi="宋体"/>
        </w:rPr>
        <w:fldChar w:fldCharType="end"/>
      </w:r>
    </w:p>
    <w:p w14:paraId="6A04EBF1">
      <w:pPr>
        <w:pStyle w:val="6"/>
        <w:tabs>
          <w:tab w:val="right" w:leader="dot" w:pos="8306"/>
        </w:tabs>
      </w:pPr>
      <w:r>
        <w:rPr>
          <w:rFonts w:ascii="宋体" w:hAnsi="宋体"/>
        </w:rPr>
        <w:fldChar w:fldCharType="begin"/>
      </w:r>
      <w:r>
        <w:rPr>
          <w:rFonts w:ascii="宋体" w:hAnsi="宋体"/>
        </w:rPr>
        <w:instrText xml:space="preserve"> HYPERLINK \l _Toc6445 </w:instrText>
      </w:r>
      <w:r>
        <w:rPr>
          <w:rFonts w:ascii="宋体" w:hAnsi="宋体"/>
        </w:rPr>
        <w:fldChar w:fldCharType="separate"/>
      </w:r>
      <w:r>
        <w:rPr>
          <w:rFonts w:hint="eastAsia" w:ascii="宋体" w:hAnsi="宋体"/>
        </w:rPr>
        <w:t>2.产出质量</w:t>
      </w:r>
      <w:r>
        <w:tab/>
      </w:r>
      <w:r>
        <w:fldChar w:fldCharType="begin"/>
      </w:r>
      <w:r>
        <w:instrText xml:space="preserve"> PAGEREF _Toc6445 \h </w:instrText>
      </w:r>
      <w:r>
        <w:fldChar w:fldCharType="separate"/>
      </w:r>
      <w:r>
        <w:t>17</w:t>
      </w:r>
      <w:r>
        <w:fldChar w:fldCharType="end"/>
      </w:r>
      <w:r>
        <w:rPr>
          <w:rFonts w:ascii="宋体" w:hAnsi="宋体"/>
        </w:rPr>
        <w:fldChar w:fldCharType="end"/>
      </w:r>
    </w:p>
    <w:p w14:paraId="045C6D53">
      <w:pPr>
        <w:pStyle w:val="6"/>
        <w:tabs>
          <w:tab w:val="right" w:leader="dot" w:pos="8306"/>
        </w:tabs>
      </w:pPr>
      <w:r>
        <w:rPr>
          <w:rFonts w:ascii="宋体" w:hAnsi="宋体"/>
        </w:rPr>
        <w:fldChar w:fldCharType="begin"/>
      </w:r>
      <w:r>
        <w:rPr>
          <w:rFonts w:ascii="宋体" w:hAnsi="宋体"/>
        </w:rPr>
        <w:instrText xml:space="preserve"> HYPERLINK \l _Toc16283 </w:instrText>
      </w:r>
      <w:r>
        <w:rPr>
          <w:rFonts w:ascii="宋体" w:hAnsi="宋体"/>
        </w:rPr>
        <w:fldChar w:fldCharType="separate"/>
      </w:r>
      <w:r>
        <w:rPr>
          <w:rFonts w:hint="eastAsia" w:ascii="宋体" w:hAnsi="宋体"/>
        </w:rPr>
        <w:t>3.产出时效</w:t>
      </w:r>
      <w:r>
        <w:tab/>
      </w:r>
      <w:r>
        <w:fldChar w:fldCharType="begin"/>
      </w:r>
      <w:r>
        <w:instrText xml:space="preserve"> PAGEREF _Toc16283 \h </w:instrText>
      </w:r>
      <w:r>
        <w:fldChar w:fldCharType="separate"/>
      </w:r>
      <w:r>
        <w:t>17</w:t>
      </w:r>
      <w:r>
        <w:fldChar w:fldCharType="end"/>
      </w:r>
      <w:r>
        <w:rPr>
          <w:rFonts w:ascii="宋体" w:hAnsi="宋体"/>
        </w:rPr>
        <w:fldChar w:fldCharType="end"/>
      </w:r>
    </w:p>
    <w:p w14:paraId="4BCB1972">
      <w:pPr>
        <w:pStyle w:val="6"/>
        <w:tabs>
          <w:tab w:val="right" w:leader="dot" w:pos="8306"/>
        </w:tabs>
      </w:pPr>
      <w:r>
        <w:rPr>
          <w:rFonts w:ascii="宋体" w:hAnsi="宋体"/>
        </w:rPr>
        <w:fldChar w:fldCharType="begin"/>
      </w:r>
      <w:r>
        <w:rPr>
          <w:rFonts w:ascii="宋体" w:hAnsi="宋体"/>
        </w:rPr>
        <w:instrText xml:space="preserve"> HYPERLINK \l _Toc29406 </w:instrText>
      </w:r>
      <w:r>
        <w:rPr>
          <w:rFonts w:ascii="宋体" w:hAnsi="宋体"/>
        </w:rPr>
        <w:fldChar w:fldCharType="separate"/>
      </w:r>
      <w:r>
        <w:rPr>
          <w:rFonts w:hint="eastAsia" w:ascii="宋体" w:hAnsi="宋体"/>
        </w:rPr>
        <w:t>4.产出成本</w:t>
      </w:r>
      <w:r>
        <w:tab/>
      </w:r>
      <w:r>
        <w:fldChar w:fldCharType="begin"/>
      </w:r>
      <w:r>
        <w:instrText xml:space="preserve"> PAGEREF _Toc29406 \h </w:instrText>
      </w:r>
      <w:r>
        <w:fldChar w:fldCharType="separate"/>
      </w:r>
      <w:r>
        <w:t>17</w:t>
      </w:r>
      <w:r>
        <w:fldChar w:fldCharType="end"/>
      </w:r>
      <w:r>
        <w:rPr>
          <w:rFonts w:ascii="宋体" w:hAnsi="宋体"/>
        </w:rPr>
        <w:fldChar w:fldCharType="end"/>
      </w:r>
    </w:p>
    <w:p w14:paraId="4B8868C4">
      <w:pPr>
        <w:pStyle w:val="10"/>
        <w:tabs>
          <w:tab w:val="right" w:leader="dot" w:pos="8306"/>
        </w:tabs>
      </w:pPr>
      <w:r>
        <w:rPr>
          <w:rFonts w:ascii="宋体" w:hAnsi="宋体"/>
        </w:rPr>
        <w:fldChar w:fldCharType="begin"/>
      </w:r>
      <w:r>
        <w:rPr>
          <w:rFonts w:ascii="宋体" w:hAnsi="宋体"/>
        </w:rPr>
        <w:instrText xml:space="preserve"> HYPERLINK \l _Toc16221 </w:instrText>
      </w:r>
      <w:r>
        <w:rPr>
          <w:rFonts w:ascii="宋体" w:hAnsi="宋体"/>
        </w:rPr>
        <w:fldChar w:fldCharType="separate"/>
      </w:r>
      <w:r>
        <w:rPr>
          <w:rFonts w:hint="eastAsia" w:ascii="宋体" w:hAnsi="宋体"/>
        </w:rPr>
        <w:t>（四）效益情况分析</w:t>
      </w:r>
      <w:r>
        <w:tab/>
      </w:r>
      <w:r>
        <w:fldChar w:fldCharType="begin"/>
      </w:r>
      <w:r>
        <w:instrText xml:space="preserve"> PAGEREF _Toc16221 \h </w:instrText>
      </w:r>
      <w:r>
        <w:fldChar w:fldCharType="separate"/>
      </w:r>
      <w:r>
        <w:t>18</w:t>
      </w:r>
      <w:r>
        <w:fldChar w:fldCharType="end"/>
      </w:r>
      <w:r>
        <w:rPr>
          <w:rFonts w:ascii="宋体" w:hAnsi="宋体"/>
        </w:rPr>
        <w:fldChar w:fldCharType="end"/>
      </w:r>
    </w:p>
    <w:p w14:paraId="5DF9A230">
      <w:pPr>
        <w:pStyle w:val="6"/>
        <w:tabs>
          <w:tab w:val="right" w:leader="dot" w:pos="8306"/>
        </w:tabs>
      </w:pPr>
      <w:r>
        <w:rPr>
          <w:rFonts w:hint="eastAsia" w:ascii="宋体" w:hAnsi="宋体"/>
          <w:highlight w:val="none"/>
        </w:rPr>
        <w:t>1.</w:t>
      </w:r>
      <w:r>
        <w:rPr>
          <w:rFonts w:ascii="宋体" w:hAnsi="宋体"/>
        </w:rPr>
        <w:fldChar w:fldCharType="begin"/>
      </w:r>
      <w:r>
        <w:rPr>
          <w:rFonts w:ascii="宋体" w:hAnsi="宋体"/>
        </w:rPr>
        <w:instrText xml:space="preserve"> HYPERLINK \l _Toc22842 </w:instrText>
      </w:r>
      <w:r>
        <w:rPr>
          <w:rFonts w:ascii="宋体" w:hAnsi="宋体"/>
        </w:rPr>
        <w:fldChar w:fldCharType="separate"/>
      </w:r>
      <w:r>
        <w:rPr>
          <w:rFonts w:hint="eastAsia" w:ascii="宋体" w:hAnsi="宋体"/>
        </w:rPr>
        <w:t>社会</w:t>
      </w:r>
      <w:r>
        <w:rPr>
          <w:rFonts w:hint="eastAsia" w:ascii="宋体" w:hAnsi="宋体"/>
          <w:lang w:val="en-US" w:eastAsia="zh-CN"/>
        </w:rPr>
        <w:t>效益</w:t>
      </w:r>
      <w:r>
        <w:tab/>
      </w:r>
      <w:r>
        <w:fldChar w:fldCharType="begin"/>
      </w:r>
      <w:r>
        <w:instrText xml:space="preserve"> PAGEREF _Toc22842 \h </w:instrText>
      </w:r>
      <w:r>
        <w:fldChar w:fldCharType="separate"/>
      </w:r>
      <w:r>
        <w:t>18</w:t>
      </w:r>
      <w:r>
        <w:fldChar w:fldCharType="end"/>
      </w:r>
      <w:r>
        <w:rPr>
          <w:rFonts w:ascii="宋体" w:hAnsi="宋体"/>
        </w:rPr>
        <w:fldChar w:fldCharType="end"/>
      </w:r>
    </w:p>
    <w:p w14:paraId="5938333A">
      <w:pPr>
        <w:pStyle w:val="6"/>
        <w:tabs>
          <w:tab w:val="right" w:leader="dot" w:pos="8306"/>
        </w:tabs>
      </w:pPr>
      <w:r>
        <w:rPr>
          <w:rFonts w:ascii="宋体" w:hAnsi="宋体"/>
        </w:rPr>
        <w:fldChar w:fldCharType="begin"/>
      </w:r>
      <w:r>
        <w:rPr>
          <w:rFonts w:ascii="宋体" w:hAnsi="宋体"/>
        </w:rPr>
        <w:instrText xml:space="preserve"> HYPERLINK \l _Toc24390 </w:instrText>
      </w:r>
      <w:r>
        <w:rPr>
          <w:rFonts w:ascii="宋体" w:hAnsi="宋体"/>
        </w:rPr>
        <w:fldChar w:fldCharType="separate"/>
      </w:r>
      <w:r>
        <w:rPr>
          <w:rFonts w:hint="eastAsia" w:ascii="宋体" w:hAnsi="宋体"/>
        </w:rPr>
        <w:t>2.经济效益</w:t>
      </w:r>
      <w:r>
        <w:tab/>
      </w:r>
      <w:r>
        <w:fldChar w:fldCharType="begin"/>
      </w:r>
      <w:r>
        <w:instrText xml:space="preserve"> PAGEREF _Toc24390 \h </w:instrText>
      </w:r>
      <w:r>
        <w:fldChar w:fldCharType="separate"/>
      </w:r>
      <w:r>
        <w:t>18</w:t>
      </w:r>
      <w:r>
        <w:fldChar w:fldCharType="end"/>
      </w:r>
      <w:r>
        <w:rPr>
          <w:rFonts w:ascii="宋体" w:hAnsi="宋体"/>
        </w:rPr>
        <w:fldChar w:fldCharType="end"/>
      </w:r>
    </w:p>
    <w:p w14:paraId="5C6A4728">
      <w:pPr>
        <w:pStyle w:val="6"/>
        <w:tabs>
          <w:tab w:val="right" w:leader="dot" w:pos="8306"/>
        </w:tabs>
      </w:pPr>
      <w:r>
        <w:rPr>
          <w:rFonts w:ascii="宋体" w:hAnsi="宋体"/>
        </w:rPr>
        <w:fldChar w:fldCharType="begin"/>
      </w:r>
      <w:r>
        <w:rPr>
          <w:rFonts w:ascii="宋体" w:hAnsi="宋体"/>
        </w:rPr>
        <w:instrText xml:space="preserve"> HYPERLINK \l _Toc27483 </w:instrText>
      </w:r>
      <w:r>
        <w:rPr>
          <w:rFonts w:ascii="宋体" w:hAnsi="宋体"/>
        </w:rPr>
        <w:fldChar w:fldCharType="separate"/>
      </w:r>
      <w:r>
        <w:rPr>
          <w:rFonts w:hint="eastAsia" w:ascii="宋体" w:hAnsi="宋体"/>
        </w:rPr>
        <w:t>3.生态效益</w:t>
      </w:r>
      <w:r>
        <w:tab/>
      </w:r>
      <w:r>
        <w:fldChar w:fldCharType="begin"/>
      </w:r>
      <w:r>
        <w:instrText xml:space="preserve"> PAGEREF _Toc27483 \h </w:instrText>
      </w:r>
      <w:r>
        <w:fldChar w:fldCharType="separate"/>
      </w:r>
      <w:r>
        <w:t>19</w:t>
      </w:r>
      <w:r>
        <w:fldChar w:fldCharType="end"/>
      </w:r>
      <w:r>
        <w:rPr>
          <w:rFonts w:ascii="宋体" w:hAnsi="宋体"/>
        </w:rPr>
        <w:fldChar w:fldCharType="end"/>
      </w:r>
    </w:p>
    <w:p w14:paraId="17F080F7">
      <w:pPr>
        <w:pStyle w:val="6"/>
        <w:tabs>
          <w:tab w:val="right" w:leader="dot" w:pos="8306"/>
        </w:tabs>
      </w:pPr>
      <w:r>
        <w:rPr>
          <w:rFonts w:ascii="宋体" w:hAnsi="宋体"/>
        </w:rPr>
        <w:fldChar w:fldCharType="begin"/>
      </w:r>
      <w:r>
        <w:rPr>
          <w:rFonts w:ascii="宋体" w:hAnsi="宋体"/>
        </w:rPr>
        <w:instrText xml:space="preserve"> HYPERLINK \l _Toc414 </w:instrText>
      </w:r>
      <w:r>
        <w:rPr>
          <w:rFonts w:ascii="宋体" w:hAnsi="宋体"/>
        </w:rPr>
        <w:fldChar w:fldCharType="separate"/>
      </w:r>
      <w:r>
        <w:rPr>
          <w:rFonts w:hint="eastAsia" w:ascii="宋体" w:hAnsi="宋体"/>
        </w:rPr>
        <w:t>4.可持</w:t>
      </w:r>
      <w:r>
        <w:rPr>
          <w:rFonts w:hint="eastAsia" w:ascii="宋体" w:hAnsi="宋体"/>
          <w:highlight w:val="none"/>
        </w:rPr>
        <w:t>续影响</w:t>
      </w:r>
      <w:r>
        <w:tab/>
      </w:r>
      <w:r>
        <w:fldChar w:fldCharType="begin"/>
      </w:r>
      <w:r>
        <w:instrText xml:space="preserve"> PAGEREF _Toc414 \h </w:instrText>
      </w:r>
      <w:r>
        <w:fldChar w:fldCharType="separate"/>
      </w:r>
      <w:r>
        <w:t>19</w:t>
      </w:r>
      <w:r>
        <w:fldChar w:fldCharType="end"/>
      </w:r>
      <w:r>
        <w:rPr>
          <w:rFonts w:ascii="宋体" w:hAnsi="宋体"/>
        </w:rPr>
        <w:fldChar w:fldCharType="end"/>
      </w:r>
    </w:p>
    <w:p w14:paraId="73FB91D8">
      <w:pPr>
        <w:pStyle w:val="6"/>
        <w:tabs>
          <w:tab w:val="right" w:leader="dot" w:pos="8306"/>
        </w:tabs>
      </w:pPr>
      <w:r>
        <w:rPr>
          <w:rFonts w:ascii="宋体" w:hAnsi="宋体"/>
        </w:rPr>
        <w:fldChar w:fldCharType="begin"/>
      </w:r>
      <w:r>
        <w:rPr>
          <w:rFonts w:ascii="宋体" w:hAnsi="宋体"/>
        </w:rPr>
        <w:instrText xml:space="preserve"> HYPERLINK \l _Toc1368 </w:instrText>
      </w:r>
      <w:r>
        <w:rPr>
          <w:rFonts w:ascii="宋体" w:hAnsi="宋体"/>
        </w:rPr>
        <w:fldChar w:fldCharType="separate"/>
      </w:r>
      <w:r>
        <w:rPr>
          <w:rFonts w:hint="eastAsia" w:ascii="宋体" w:hAnsi="宋体"/>
        </w:rPr>
        <w:t>5.满意度</w:t>
      </w:r>
      <w:r>
        <w:tab/>
      </w:r>
      <w:r>
        <w:fldChar w:fldCharType="begin"/>
      </w:r>
      <w:r>
        <w:instrText xml:space="preserve"> PAGEREF _Toc1368 \h </w:instrText>
      </w:r>
      <w:r>
        <w:fldChar w:fldCharType="separate"/>
      </w:r>
      <w:r>
        <w:t>19</w:t>
      </w:r>
      <w:r>
        <w:fldChar w:fldCharType="end"/>
      </w:r>
      <w:r>
        <w:rPr>
          <w:rFonts w:ascii="宋体" w:hAnsi="宋体"/>
        </w:rPr>
        <w:fldChar w:fldCharType="end"/>
      </w:r>
    </w:p>
    <w:p w14:paraId="7ADA6EA8">
      <w:pPr>
        <w:pStyle w:val="9"/>
        <w:tabs>
          <w:tab w:val="right" w:leader="dot" w:pos="8306"/>
        </w:tabs>
      </w:pPr>
      <w:r>
        <w:rPr>
          <w:rFonts w:ascii="宋体" w:hAnsi="宋体"/>
        </w:rPr>
        <w:fldChar w:fldCharType="begin"/>
      </w:r>
      <w:r>
        <w:rPr>
          <w:rFonts w:ascii="宋体" w:hAnsi="宋体"/>
        </w:rPr>
        <w:instrText xml:space="preserve"> HYPERLINK \l _Toc8656 </w:instrText>
      </w:r>
      <w:r>
        <w:rPr>
          <w:rFonts w:ascii="宋体" w:hAnsi="宋体"/>
        </w:rPr>
        <w:fldChar w:fldCharType="separate"/>
      </w:r>
      <w:r>
        <w:rPr>
          <w:rFonts w:hint="eastAsia" w:ascii="宋体" w:hAnsi="宋体"/>
        </w:rPr>
        <w:t>五、 存在的问题及原因分析</w:t>
      </w:r>
      <w:r>
        <w:tab/>
      </w:r>
      <w:r>
        <w:fldChar w:fldCharType="begin"/>
      </w:r>
      <w:r>
        <w:instrText xml:space="preserve"> PAGEREF _Toc8656 \h </w:instrText>
      </w:r>
      <w:r>
        <w:fldChar w:fldCharType="separate"/>
      </w:r>
      <w:r>
        <w:t>20</w:t>
      </w:r>
      <w:r>
        <w:fldChar w:fldCharType="end"/>
      </w:r>
      <w:r>
        <w:rPr>
          <w:rFonts w:ascii="宋体" w:hAnsi="宋体"/>
        </w:rPr>
        <w:fldChar w:fldCharType="end"/>
      </w:r>
    </w:p>
    <w:p w14:paraId="0D60DFBF">
      <w:pPr>
        <w:pStyle w:val="9"/>
        <w:tabs>
          <w:tab w:val="right" w:leader="dot" w:pos="8306"/>
        </w:tabs>
      </w:pPr>
      <w:r>
        <w:rPr>
          <w:rFonts w:ascii="宋体" w:hAnsi="宋体"/>
        </w:rPr>
        <w:fldChar w:fldCharType="begin"/>
      </w:r>
      <w:r>
        <w:rPr>
          <w:rFonts w:ascii="宋体" w:hAnsi="宋体"/>
        </w:rPr>
        <w:instrText xml:space="preserve"> HYPERLINK \l _Toc32610 </w:instrText>
      </w:r>
      <w:r>
        <w:rPr>
          <w:rFonts w:ascii="宋体" w:hAnsi="宋体"/>
        </w:rPr>
        <w:fldChar w:fldCharType="separate"/>
      </w:r>
      <w:r>
        <w:rPr>
          <w:rFonts w:hint="eastAsia" w:ascii="宋体" w:hAnsi="宋体"/>
        </w:rPr>
        <w:t>六、有关建议</w:t>
      </w:r>
      <w:r>
        <w:tab/>
      </w:r>
      <w:r>
        <w:fldChar w:fldCharType="begin"/>
      </w:r>
      <w:r>
        <w:instrText xml:space="preserve"> PAGEREF _Toc32610 \h </w:instrText>
      </w:r>
      <w:r>
        <w:fldChar w:fldCharType="separate"/>
      </w:r>
      <w:r>
        <w:t>20</w:t>
      </w:r>
      <w:r>
        <w:fldChar w:fldCharType="end"/>
      </w:r>
      <w:r>
        <w:rPr>
          <w:rFonts w:ascii="宋体" w:hAnsi="宋体"/>
        </w:rPr>
        <w:fldChar w:fldCharType="end"/>
      </w:r>
    </w:p>
    <w:p w14:paraId="3BA109F8">
      <w:pPr>
        <w:pStyle w:val="9"/>
        <w:tabs>
          <w:tab w:val="right" w:leader="dot" w:pos="8306"/>
        </w:tabs>
      </w:pPr>
      <w:r>
        <w:rPr>
          <w:rFonts w:ascii="宋体" w:hAnsi="宋体"/>
        </w:rPr>
        <w:fldChar w:fldCharType="begin"/>
      </w:r>
      <w:r>
        <w:rPr>
          <w:rFonts w:ascii="宋体" w:hAnsi="宋体"/>
        </w:rPr>
        <w:instrText xml:space="preserve"> HYPERLINK \l _Toc11090 </w:instrText>
      </w:r>
      <w:r>
        <w:rPr>
          <w:rFonts w:ascii="宋体" w:hAnsi="宋体"/>
        </w:rPr>
        <w:fldChar w:fldCharType="separate"/>
      </w:r>
      <w:r>
        <w:rPr>
          <w:rFonts w:hint="eastAsia" w:ascii="宋体" w:hAnsi="宋体"/>
        </w:rPr>
        <w:t>七、其他需要说明的问题</w:t>
      </w:r>
      <w:r>
        <w:tab/>
      </w:r>
      <w:r>
        <w:fldChar w:fldCharType="begin"/>
      </w:r>
      <w:r>
        <w:instrText xml:space="preserve"> PAGEREF _Toc11090 \h </w:instrText>
      </w:r>
      <w:r>
        <w:fldChar w:fldCharType="separate"/>
      </w:r>
      <w:r>
        <w:t>21</w:t>
      </w:r>
      <w:r>
        <w:fldChar w:fldCharType="end"/>
      </w:r>
      <w:r>
        <w:rPr>
          <w:rFonts w:ascii="宋体" w:hAnsi="宋体"/>
        </w:rPr>
        <w:fldChar w:fldCharType="end"/>
      </w:r>
    </w:p>
    <w:p w14:paraId="5E889449">
      <w:pPr>
        <w:ind w:firstLine="600"/>
        <w:rPr>
          <w:rFonts w:ascii="宋体" w:hAnsi="宋体"/>
        </w:rPr>
      </w:pPr>
      <w:r>
        <w:rPr>
          <w:rFonts w:ascii="宋体" w:hAnsi="宋体"/>
        </w:rPr>
        <w:fldChar w:fldCharType="end"/>
      </w:r>
    </w:p>
    <w:p w14:paraId="230D3249">
      <w:pPr>
        <w:spacing w:beforeLines="150"/>
        <w:jc w:val="center"/>
        <w:rPr>
          <w:rFonts w:ascii="宋体" w:hAnsi="宋体" w:eastAsia="方正小标宋简体" w:cs="方正小标宋简体"/>
          <w:b/>
          <w:bCs/>
          <w:sz w:val="36"/>
          <w:szCs w:val="36"/>
        </w:rPr>
        <w:sectPr>
          <w:headerReference r:id="rId5" w:type="default"/>
          <w:footerReference r:id="rId6" w:type="default"/>
          <w:pgSz w:w="11906" w:h="16839"/>
          <w:pgMar w:top="1440" w:right="1800" w:bottom="1440" w:left="1800" w:header="0" w:footer="1059" w:gutter="0"/>
          <w:pgNumType w:start="1"/>
          <w:cols w:space="720" w:num="1"/>
        </w:sectPr>
      </w:pPr>
    </w:p>
    <w:p w14:paraId="7F7CEDC7">
      <w:pPr>
        <w:spacing w:beforeLines="150"/>
        <w:jc w:val="center"/>
        <w:rPr>
          <w:rFonts w:ascii="宋体" w:hAnsi="宋体" w:eastAsia="方正小标宋简体" w:cs="方正小标宋简体"/>
          <w:b/>
          <w:bCs/>
          <w:sz w:val="36"/>
          <w:szCs w:val="36"/>
        </w:rPr>
      </w:pPr>
      <w:r>
        <w:rPr>
          <w:rFonts w:hint="eastAsia" w:ascii="宋体" w:hAnsi="宋体" w:eastAsia="方正小标宋简体" w:cs="方正小标宋简体"/>
          <w:b/>
          <w:bCs/>
          <w:sz w:val="36"/>
          <w:szCs w:val="36"/>
        </w:rPr>
        <w:t>长春市宽城区卫生综合体建设项目</w:t>
      </w:r>
    </w:p>
    <w:p w14:paraId="03938CE3">
      <w:pPr>
        <w:spacing w:line="240" w:lineRule="auto"/>
        <w:jc w:val="center"/>
        <w:rPr>
          <w:rFonts w:ascii="宋体" w:hAnsi="宋体" w:eastAsia="方正小标宋简体" w:cs="方正小标宋简体"/>
          <w:b/>
          <w:bCs/>
          <w:sz w:val="36"/>
          <w:szCs w:val="36"/>
        </w:rPr>
      </w:pPr>
      <w:r>
        <w:rPr>
          <w:rFonts w:hint="eastAsia" w:ascii="宋体" w:hAnsi="宋体" w:eastAsia="方正小标宋简体" w:cs="方正小标宋简体"/>
          <w:b/>
          <w:bCs/>
          <w:sz w:val="36"/>
          <w:szCs w:val="36"/>
        </w:rPr>
        <w:t>绩效评价报告</w:t>
      </w:r>
    </w:p>
    <w:p w14:paraId="050A3930">
      <w:pPr>
        <w:spacing w:beforeLines="150" w:afterLines="150" w:line="240" w:lineRule="auto"/>
        <w:ind w:firstLine="480"/>
        <w:jc w:val="center"/>
        <w:rPr>
          <w:rFonts w:ascii="宋体" w:hAnsi="宋体" w:eastAsia="方正小标宋简体" w:cs="方正小标宋简体"/>
          <w:sz w:val="24"/>
          <w:szCs w:val="24"/>
        </w:rPr>
      </w:pPr>
      <w:r>
        <w:rPr>
          <w:rFonts w:hint="eastAsia" w:ascii="宋体" w:hAnsi="宋体" w:eastAsia="方正小标宋简体" w:cs="方正小标宋简体"/>
          <w:sz w:val="24"/>
          <w:szCs w:val="24"/>
        </w:rPr>
        <w:t>长岳专审字【202</w:t>
      </w:r>
      <w:r>
        <w:rPr>
          <w:rFonts w:hint="eastAsia" w:ascii="宋体" w:hAnsi="宋体" w:eastAsia="方正小标宋简体" w:cs="方正小标宋简体"/>
          <w:sz w:val="24"/>
          <w:szCs w:val="24"/>
          <w:lang w:val="en-US" w:eastAsia="zh-CN"/>
        </w:rPr>
        <w:t>5</w:t>
      </w:r>
      <w:r>
        <w:rPr>
          <w:rFonts w:hint="eastAsia" w:ascii="宋体" w:hAnsi="宋体" w:eastAsia="方正小标宋简体" w:cs="方正小标宋简体"/>
          <w:sz w:val="24"/>
          <w:szCs w:val="24"/>
        </w:rPr>
        <w:t>】</w:t>
      </w:r>
      <w:r>
        <w:rPr>
          <w:rFonts w:hint="eastAsia" w:ascii="宋体" w:hAnsi="宋体" w:eastAsia="方正小标宋简体" w:cs="方正小标宋简体"/>
          <w:sz w:val="24"/>
          <w:szCs w:val="24"/>
          <w:highlight w:val="none"/>
        </w:rPr>
        <w:t>第0</w:t>
      </w:r>
      <w:r>
        <w:rPr>
          <w:rFonts w:hint="eastAsia" w:ascii="宋体" w:hAnsi="宋体" w:eastAsia="方正小标宋简体" w:cs="方正小标宋简体"/>
          <w:sz w:val="24"/>
          <w:szCs w:val="24"/>
          <w:highlight w:val="none"/>
          <w:lang w:val="en-US" w:eastAsia="zh-CN"/>
        </w:rPr>
        <w:t>49</w:t>
      </w:r>
      <w:r>
        <w:rPr>
          <w:rFonts w:hint="eastAsia" w:ascii="宋体" w:hAnsi="宋体" w:eastAsia="方正小标宋简体" w:cs="方正小标宋简体"/>
          <w:sz w:val="24"/>
          <w:szCs w:val="24"/>
          <w:highlight w:val="none"/>
        </w:rPr>
        <w:t>号</w:t>
      </w:r>
    </w:p>
    <w:p w14:paraId="7C56ACF0">
      <w:pPr>
        <w:pStyle w:val="11"/>
        <w:pageBreakBefore w:val="0"/>
        <w:widowControl w:val="0"/>
        <w:kinsoku/>
        <w:wordWrap/>
        <w:overflowPunct/>
        <w:topLinePunct w:val="0"/>
        <w:autoSpaceDE/>
        <w:autoSpaceDN/>
        <w:bidi w:val="0"/>
        <w:adjustRightInd/>
        <w:snapToGrid/>
        <w:spacing w:beforeAutospacing="0" w:afterAutospacing="0" w:line="600" w:lineRule="exact"/>
        <w:ind w:firstLine="612"/>
        <w:jc w:val="both"/>
        <w:textAlignment w:val="baseline"/>
        <w:rPr>
          <w:rFonts w:ascii="宋体" w:hAnsi="宋体" w:cs="仿宋_GB2312"/>
          <w:color w:val="333333"/>
          <w:spacing w:val="6"/>
          <w:sz w:val="30"/>
          <w:szCs w:val="30"/>
          <w:shd w:val="clear" w:color="auto" w:fill="FFFFFF"/>
        </w:rPr>
      </w:pPr>
      <w:bookmarkStart w:id="2" w:name="_bookmark1"/>
      <w:bookmarkEnd w:id="2"/>
      <w:bookmarkStart w:id="3" w:name="_bookmark2"/>
      <w:bookmarkEnd w:id="3"/>
      <w:r>
        <w:rPr>
          <w:rFonts w:hint="eastAsia" w:ascii="宋体" w:hAnsi="宋体" w:cs="仿宋_GB2312"/>
          <w:color w:val="333333"/>
          <w:spacing w:val="6"/>
          <w:sz w:val="30"/>
          <w:szCs w:val="30"/>
          <w:shd w:val="clear" w:color="auto" w:fill="FFFFFF"/>
        </w:rPr>
        <w:t>为加强财政支出管理，提高财政资金使用效益，根据《中华人民共和国预算法》《中共中央国务院关于全面实施预算绩效管理的意见》（中发【2018】34号）、《地方政府专项债券项目资金绩效管理办法》（财预【2021】61号）、《吉林省地方政府专项债券项目绩效评价管理办法（试行）》（吉财债【2021】1044号）、《吉林省项目支出预算绩效目标管理办法》（吉财绩【2021】1333号）、《国家发展改革委关于加强中央预算内投资项目概算调整管理的通知》（发改投资【2009】1550号）、《关于印发〈基本建设项目建设成本管理规定〉的通知》（财建【2016】504号）、《关于委托第三方机构参与预算绩效管理的指导意见》（财预【2021】6号）等文件要求，长春宽城经济开发区管理委员会组织并委托长春岳华会计事务所（普通合伙）于202</w:t>
      </w:r>
      <w:r>
        <w:rPr>
          <w:rFonts w:hint="eastAsia" w:ascii="宋体" w:hAnsi="宋体" w:cs="仿宋_GB2312"/>
          <w:color w:val="333333"/>
          <w:spacing w:val="6"/>
          <w:sz w:val="30"/>
          <w:szCs w:val="30"/>
          <w:shd w:val="clear" w:color="auto" w:fill="FFFFFF"/>
          <w:lang w:val="en-US" w:eastAsia="zh-CN"/>
        </w:rPr>
        <w:t>5</w:t>
      </w:r>
      <w:r>
        <w:rPr>
          <w:rFonts w:hint="eastAsia" w:ascii="宋体" w:hAnsi="宋体" w:cs="仿宋_GB2312"/>
          <w:color w:val="333333"/>
          <w:spacing w:val="6"/>
          <w:sz w:val="30"/>
          <w:szCs w:val="30"/>
          <w:shd w:val="clear" w:color="auto" w:fill="FFFFFF"/>
        </w:rPr>
        <w:t>年5月对长春市宽城区卫生综合体建设项目（简称“本项目”）开展202</w:t>
      </w:r>
      <w:r>
        <w:rPr>
          <w:rFonts w:hint="eastAsia" w:ascii="宋体" w:hAnsi="宋体" w:cs="仿宋_GB2312"/>
          <w:color w:val="333333"/>
          <w:spacing w:val="6"/>
          <w:sz w:val="30"/>
          <w:szCs w:val="30"/>
          <w:shd w:val="clear" w:color="auto" w:fill="FFFFFF"/>
          <w:lang w:val="en-US" w:eastAsia="zh-CN"/>
        </w:rPr>
        <w:t>4</w:t>
      </w:r>
      <w:r>
        <w:rPr>
          <w:rFonts w:hint="eastAsia" w:ascii="宋体" w:hAnsi="宋体" w:cs="仿宋_GB2312"/>
          <w:color w:val="333333"/>
          <w:spacing w:val="6"/>
          <w:sz w:val="30"/>
          <w:szCs w:val="30"/>
          <w:shd w:val="clear" w:color="auto" w:fill="FFFFFF"/>
        </w:rPr>
        <w:t>年度绩效评价。评价采用定量和定性分析相结合的方法，实施了资料审阅、账务核实、现场查勘、询问、分析计算等必要的评价程序，从项目决策、管理、产出、效益等方面进行了综合评价。现将评价情况报告如下：</w:t>
      </w:r>
    </w:p>
    <w:p w14:paraId="41F4E73A">
      <w:pPr>
        <w:pStyle w:val="2"/>
        <w:pageBreakBefore w:val="0"/>
        <w:wordWrap/>
        <w:overflowPunct/>
        <w:topLinePunct w:val="0"/>
        <w:bidi w:val="0"/>
        <w:spacing w:line="600" w:lineRule="exact"/>
        <w:ind w:firstLine="602"/>
        <w:textAlignment w:val="baseline"/>
        <w:rPr>
          <w:rFonts w:ascii="宋体" w:hAnsi="宋体"/>
        </w:rPr>
      </w:pPr>
      <w:bookmarkStart w:id="4" w:name="_Toc26424"/>
      <w:r>
        <w:rPr>
          <w:rFonts w:hint="eastAsia" w:ascii="宋体" w:hAnsi="宋体"/>
        </w:rPr>
        <w:t>一、项目概况</w:t>
      </w:r>
      <w:bookmarkEnd w:id="4"/>
    </w:p>
    <w:p w14:paraId="37917933">
      <w:pPr>
        <w:pStyle w:val="3"/>
        <w:pageBreakBefore w:val="0"/>
        <w:wordWrap/>
        <w:overflowPunct/>
        <w:topLinePunct w:val="0"/>
        <w:bidi w:val="0"/>
        <w:spacing w:line="600" w:lineRule="exact"/>
        <w:ind w:firstLine="602"/>
        <w:textAlignment w:val="baseline"/>
        <w:rPr>
          <w:rFonts w:ascii="宋体" w:hAnsi="宋体"/>
        </w:rPr>
      </w:pPr>
      <w:bookmarkStart w:id="5" w:name="_Toc491"/>
      <w:r>
        <w:rPr>
          <w:rFonts w:hint="eastAsia" w:ascii="宋体" w:hAnsi="宋体"/>
        </w:rPr>
        <w:t>（一）项目立项的背景和目标</w:t>
      </w:r>
      <w:bookmarkEnd w:id="5"/>
    </w:p>
    <w:p w14:paraId="16392290">
      <w:pPr>
        <w:pStyle w:val="4"/>
        <w:pageBreakBefore w:val="0"/>
        <w:wordWrap/>
        <w:overflowPunct/>
        <w:topLinePunct w:val="0"/>
        <w:bidi w:val="0"/>
        <w:spacing w:line="600" w:lineRule="exact"/>
        <w:ind w:firstLine="600"/>
        <w:textAlignment w:val="baseline"/>
        <w:rPr>
          <w:rFonts w:ascii="宋体" w:hAnsi="宋体"/>
        </w:rPr>
      </w:pPr>
      <w:bookmarkStart w:id="6" w:name="_Toc24168"/>
      <w:bookmarkStart w:id="7" w:name="_Toc16910"/>
      <w:bookmarkStart w:id="8" w:name="_Toc20436"/>
      <w:r>
        <w:rPr>
          <w:rFonts w:hint="eastAsia" w:ascii="宋体" w:hAnsi="宋体"/>
        </w:rPr>
        <w:t>1.项目立项的背景</w:t>
      </w:r>
      <w:bookmarkEnd w:id="6"/>
      <w:bookmarkEnd w:id="7"/>
      <w:bookmarkEnd w:id="8"/>
    </w:p>
    <w:p w14:paraId="1EBDB441">
      <w:pPr>
        <w:pageBreakBefore w:val="0"/>
        <w:widowControl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r>
        <w:rPr>
          <w:rFonts w:hint="eastAsia" w:ascii="宋体" w:hAnsi="宋体" w:cs="仿宋_GB2312"/>
          <w:color w:val="333333"/>
          <w:spacing w:val="6"/>
          <w:szCs w:val="30"/>
          <w:shd w:val="clear" w:color="auto" w:fill="FFFFFF"/>
        </w:rPr>
        <w:t>党的十九大提出了实施健康中国战略的宏伟目标，医疗卫生服务体系的发展面临新的历史任务，要在“病有所医”上持续取得新进展，实现人人享有基本医疗卫生服务。医疗卫生行业具有服务对象广、工作负荷大、职业风险多、成才周期长、知识更新快的特点，提供优质高效的医疗卫生服务，一方面要依靠科技进步、理念创新，大力提升医疗技术水平，提高医疗服务效率；另一方面要加强医务队伍建设，提高医疗服务质量和效率，保障医疗安全，建立优质高效的医疗卫生服务体系。同时，新冠疫情对我市医疗救治体系带来巨大考验，并产生深刻影响，要求我市进一步推行分级诊疗制度，完善医疗保障机制，加强人才队伍建设，加快科研技术攻关，提升数字化服务能力，打造智慧医疗新业态。</w:t>
      </w:r>
    </w:p>
    <w:p w14:paraId="66DDE8CA">
      <w:pPr>
        <w:pageBreakBefore w:val="0"/>
        <w:widowControl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r>
        <w:rPr>
          <w:rFonts w:hint="eastAsia" w:ascii="宋体" w:hAnsi="宋体" w:cs="仿宋_GB2312"/>
          <w:color w:val="333333"/>
          <w:spacing w:val="6"/>
          <w:szCs w:val="30"/>
          <w:shd w:val="clear" w:color="auto" w:fill="FFFFFF"/>
        </w:rPr>
        <w:t>随着长春市宽城区经济社会快速发展，卫生事业也迅速发展，但仍需进一步优化配置医疗卫生资源，有序发展医疗资源总量。例如《吉林省医疗机构设置规划(2016—2020年)》(吉卫医发[2016]16号)计划到2020年每千常住人口拥有床位数控制在5.78张，目前每千常住人口拥有床位约4.95张，与规划目标仍存在差距，像宽城区中医院、宽城区兰家镇中心卫生院等均未配置床位，全区缺编床位数518张。人民健康是社会文明进步的基础，卫生健康事业发展是人民健康的基石。由于宽城区兰家镇中心卫生院、宽城区中医院、宽城区疾病预防控制中心、宽城区卫生局卫生监督所所处位置、建筑面积、床位以及医疗设备情况等不能满足人们就医的需求，为促进我区医疗卫生资源进一步优化配置，落实医疗机构功能定位，更好的为全区人民提供优质高效医疗卫生服务，特提出将这四家单位整合至本建设项目，长春市宽城区卫生综合体建设项目建成后将极大改善宽城区人民群众的就医环境，有效缓解人民群众看病难问题，为宽城区人民群众医疗保健提供更舒心、更优质的服务，为保障宽城区人民群众身心健康发挥更大更强的作用。</w:t>
      </w:r>
    </w:p>
    <w:p w14:paraId="04D6EF85">
      <w:pPr>
        <w:pStyle w:val="4"/>
        <w:pageBreakBefore w:val="0"/>
        <w:wordWrap/>
        <w:overflowPunct/>
        <w:topLinePunct w:val="0"/>
        <w:bidi w:val="0"/>
        <w:spacing w:line="600" w:lineRule="exact"/>
        <w:ind w:firstLine="600"/>
        <w:textAlignment w:val="baseline"/>
        <w:rPr>
          <w:rFonts w:ascii="宋体" w:hAnsi="宋体"/>
        </w:rPr>
      </w:pPr>
      <w:bookmarkStart w:id="9" w:name="_Toc32030"/>
      <w:bookmarkStart w:id="10" w:name="_Toc3182"/>
      <w:bookmarkStart w:id="11" w:name="_Toc9951"/>
      <w:r>
        <w:rPr>
          <w:rFonts w:hint="eastAsia" w:ascii="宋体" w:hAnsi="宋体"/>
        </w:rPr>
        <w:t>2.项目实施单位基本情况</w:t>
      </w:r>
      <w:bookmarkEnd w:id="9"/>
      <w:bookmarkEnd w:id="10"/>
      <w:bookmarkEnd w:id="11"/>
    </w:p>
    <w:p w14:paraId="427C467B">
      <w:pPr>
        <w:pageBreakBefore w:val="0"/>
        <w:widowControl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r>
        <w:rPr>
          <w:rFonts w:hint="eastAsia" w:ascii="宋体" w:hAnsi="宋体" w:cs="仿宋_GB2312"/>
          <w:color w:val="333333"/>
          <w:spacing w:val="6"/>
          <w:szCs w:val="30"/>
          <w:shd w:val="clear" w:color="auto" w:fill="FFFFFF"/>
        </w:rPr>
        <w:t>项目建设单位：长春市宽城区中医院，开办资金：127万人民币，事业单位法人证书：12220103423973314L，法定代表人：</w:t>
      </w:r>
      <w:r>
        <w:rPr>
          <w:rFonts w:hint="eastAsia" w:ascii="宋体" w:hAnsi="宋体" w:cs="仿宋_GB2312"/>
          <w:color w:val="333333"/>
          <w:spacing w:val="6"/>
          <w:szCs w:val="30"/>
          <w:shd w:val="clear" w:color="auto" w:fill="FFFFFF"/>
          <w:lang w:val="en-US" w:eastAsia="zh-CN"/>
        </w:rPr>
        <w:t>李蕾</w:t>
      </w:r>
      <w:r>
        <w:rPr>
          <w:rFonts w:hint="eastAsia" w:ascii="宋体" w:hAnsi="宋体" w:cs="仿宋_GB2312"/>
          <w:color w:val="333333"/>
          <w:spacing w:val="6"/>
          <w:szCs w:val="30"/>
          <w:shd w:val="clear" w:color="auto" w:fill="FFFFFF"/>
        </w:rPr>
        <w:t>，有效期：自</w:t>
      </w:r>
      <w:r>
        <w:rPr>
          <w:rFonts w:hint="eastAsia" w:ascii="宋体" w:hAnsi="宋体" w:cs="仿宋_GB2312"/>
          <w:color w:val="333333"/>
          <w:spacing w:val="6"/>
          <w:szCs w:val="30"/>
          <w:shd w:val="clear" w:color="auto" w:fill="FFFFFF"/>
          <w:lang w:val="en-US" w:eastAsia="zh-CN"/>
        </w:rPr>
        <w:t>2024</w:t>
      </w:r>
      <w:r>
        <w:rPr>
          <w:rFonts w:hint="eastAsia" w:ascii="宋体" w:hAnsi="宋体" w:cs="仿宋_GB2312"/>
          <w:color w:val="333333"/>
          <w:spacing w:val="6"/>
          <w:szCs w:val="30"/>
          <w:shd w:val="clear" w:color="auto" w:fill="FFFFFF"/>
        </w:rPr>
        <w:t>年07月</w:t>
      </w:r>
      <w:r>
        <w:rPr>
          <w:rFonts w:hint="eastAsia" w:ascii="宋体" w:hAnsi="宋体" w:cs="仿宋_GB2312"/>
          <w:color w:val="333333"/>
          <w:spacing w:val="6"/>
          <w:szCs w:val="30"/>
          <w:shd w:val="clear" w:color="auto" w:fill="FFFFFF"/>
          <w:lang w:val="en-US" w:eastAsia="zh-CN"/>
        </w:rPr>
        <w:t>29</w:t>
      </w:r>
      <w:r>
        <w:rPr>
          <w:rFonts w:hint="eastAsia" w:ascii="宋体" w:hAnsi="宋体" w:cs="仿宋_GB2312"/>
          <w:color w:val="333333"/>
          <w:spacing w:val="6"/>
          <w:szCs w:val="30"/>
          <w:shd w:val="clear" w:color="auto" w:fill="FFFFFF"/>
        </w:rPr>
        <w:t>日至202</w:t>
      </w:r>
      <w:r>
        <w:rPr>
          <w:rFonts w:hint="eastAsia" w:ascii="宋体" w:hAnsi="宋体" w:cs="仿宋_GB2312"/>
          <w:color w:val="333333"/>
          <w:spacing w:val="6"/>
          <w:szCs w:val="30"/>
          <w:shd w:val="clear" w:color="auto" w:fill="FFFFFF"/>
          <w:lang w:val="en-US" w:eastAsia="zh-CN"/>
        </w:rPr>
        <w:t>9</w:t>
      </w:r>
      <w:r>
        <w:rPr>
          <w:rFonts w:hint="eastAsia" w:ascii="宋体" w:hAnsi="宋体" w:cs="仿宋_GB2312"/>
          <w:color w:val="333333"/>
          <w:spacing w:val="6"/>
          <w:szCs w:val="30"/>
          <w:shd w:val="clear" w:color="auto" w:fill="FFFFFF"/>
        </w:rPr>
        <w:t>年07月</w:t>
      </w:r>
      <w:r>
        <w:rPr>
          <w:rFonts w:hint="eastAsia" w:ascii="宋体" w:hAnsi="宋体" w:cs="仿宋_GB2312"/>
          <w:color w:val="333333"/>
          <w:spacing w:val="6"/>
          <w:szCs w:val="30"/>
          <w:shd w:val="clear" w:color="auto" w:fill="FFFFFF"/>
          <w:lang w:val="en-US" w:eastAsia="zh-CN"/>
        </w:rPr>
        <w:t>28</w:t>
      </w:r>
      <w:r>
        <w:rPr>
          <w:rFonts w:hint="eastAsia" w:ascii="宋体" w:hAnsi="宋体" w:cs="仿宋_GB2312"/>
          <w:color w:val="333333"/>
          <w:spacing w:val="6"/>
          <w:szCs w:val="30"/>
          <w:shd w:val="clear" w:color="auto" w:fill="FFFFFF"/>
        </w:rPr>
        <w:t>日，</w:t>
      </w:r>
      <w:r>
        <w:rPr>
          <w:rFonts w:hint="eastAsia" w:ascii="宋体" w:hAnsi="宋体" w:cs="仿宋_GB2312"/>
          <w:color w:val="333333"/>
          <w:spacing w:val="6"/>
          <w:szCs w:val="30"/>
          <w:shd w:val="clear" w:color="auto" w:fill="FFFFFF"/>
          <w:lang w:val="en-US" w:eastAsia="zh-CN"/>
        </w:rPr>
        <w:t>经费来源：财政补助（差额补贴）；</w:t>
      </w:r>
      <w:r>
        <w:rPr>
          <w:rFonts w:hint="eastAsia" w:ascii="宋体" w:hAnsi="宋体" w:cs="仿宋_GB2312"/>
          <w:color w:val="333333"/>
          <w:spacing w:val="6"/>
          <w:szCs w:val="30"/>
          <w:shd w:val="clear" w:color="auto" w:fill="FFFFFF"/>
        </w:rPr>
        <w:t>住所：长春市宽城区龙江路16号，经营范围：为人民身体健康提供医疗与护理保健服务。预防保健、内科、外科、妇科、儿科、五官科、口腔科、皮肤科、急诊科、眼科、针灸理疗科、电诊科、放射线科、检验科。</w:t>
      </w:r>
    </w:p>
    <w:p w14:paraId="3D3D5585">
      <w:pPr>
        <w:pStyle w:val="4"/>
        <w:pageBreakBefore w:val="0"/>
        <w:wordWrap/>
        <w:overflowPunct/>
        <w:topLinePunct w:val="0"/>
        <w:bidi w:val="0"/>
        <w:spacing w:line="600" w:lineRule="exact"/>
        <w:ind w:firstLine="600"/>
        <w:textAlignment w:val="baseline"/>
        <w:rPr>
          <w:rFonts w:ascii="宋体" w:hAnsi="宋体"/>
        </w:rPr>
      </w:pPr>
      <w:bookmarkStart w:id="12" w:name="_Toc26238"/>
      <w:bookmarkStart w:id="13" w:name="_Toc8078"/>
      <w:bookmarkStart w:id="14" w:name="_Toc5367"/>
      <w:r>
        <w:rPr>
          <w:rFonts w:hint="eastAsia" w:ascii="宋体" w:hAnsi="宋体"/>
        </w:rPr>
        <w:t>3.项目实施内容</w:t>
      </w:r>
      <w:bookmarkEnd w:id="12"/>
      <w:bookmarkEnd w:id="13"/>
      <w:bookmarkEnd w:id="14"/>
    </w:p>
    <w:p w14:paraId="7EBB6975">
      <w:pPr>
        <w:pageBreakBefore w:val="0"/>
        <w:widowControl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r>
        <w:rPr>
          <w:rFonts w:hint="eastAsia" w:ascii="宋体" w:hAnsi="宋体" w:cs="仿宋_GB2312"/>
          <w:color w:val="333333"/>
          <w:spacing w:val="6"/>
          <w:szCs w:val="30"/>
          <w:shd w:val="clear" w:color="auto" w:fill="FFFFFF"/>
        </w:rPr>
        <w:t>本项目用地位置：长春市宽城区长农东路以东、丙七路以西、空地以南、甲五路以北。项目名称：长春市宽城区卫生综合体建设项目，项目代码：2015-220103-D4-01-577346；建设单位名称：长春市宽城区中医院。</w:t>
      </w:r>
    </w:p>
    <w:p w14:paraId="3C222187">
      <w:pPr>
        <w:pageBreakBefore w:val="0"/>
        <w:widowControl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r>
        <w:rPr>
          <w:rFonts w:hint="eastAsia" w:ascii="宋体" w:hAnsi="宋体" w:cs="仿宋_GB2312"/>
          <w:color w:val="333333"/>
          <w:spacing w:val="6"/>
          <w:szCs w:val="30"/>
          <w:shd w:val="clear" w:color="auto" w:fill="FFFFFF"/>
        </w:rPr>
        <w:t>根据《宽城区发展和改革局关于长春市宽城区卫生综合体建设项目初步设计的批复》（长宽发改字【2022】6号）及《关于调整长春市宽城区卫生综合体建设项目初步设计批复的通知》（长宽发改字【2022】15号】），本项目建设内容：地上9层(局部8层),总建筑面积21328.14平方米。</w:t>
      </w:r>
    </w:p>
    <w:p w14:paraId="7BA3591A">
      <w:pPr>
        <w:pStyle w:val="4"/>
        <w:pageBreakBefore w:val="0"/>
        <w:wordWrap/>
        <w:overflowPunct/>
        <w:topLinePunct w:val="0"/>
        <w:bidi w:val="0"/>
        <w:spacing w:line="600" w:lineRule="exact"/>
        <w:ind w:firstLine="600"/>
        <w:textAlignment w:val="baseline"/>
        <w:rPr>
          <w:rFonts w:ascii="宋体" w:hAnsi="宋体"/>
        </w:rPr>
      </w:pPr>
      <w:bookmarkStart w:id="15" w:name="_Toc18194"/>
      <w:bookmarkStart w:id="16" w:name="_Toc4"/>
      <w:bookmarkStart w:id="17" w:name="_Toc1475"/>
      <w:r>
        <w:rPr>
          <w:rFonts w:hint="eastAsia" w:ascii="宋体" w:hAnsi="宋体"/>
        </w:rPr>
        <w:t>4.项目实施情况</w:t>
      </w:r>
      <w:bookmarkEnd w:id="15"/>
      <w:bookmarkEnd w:id="16"/>
      <w:bookmarkEnd w:id="17"/>
    </w:p>
    <w:p w14:paraId="26B65012">
      <w:pPr>
        <w:pageBreakBefore w:val="0"/>
        <w:widowControl w:val="0"/>
        <w:wordWrap/>
        <w:overflowPunct/>
        <w:topLinePunct w:val="0"/>
        <w:bidi w:val="0"/>
        <w:spacing w:line="600" w:lineRule="exact"/>
        <w:ind w:firstLine="612"/>
        <w:textAlignment w:val="baseline"/>
        <w:rPr>
          <w:rFonts w:ascii="宋体" w:hAnsi="宋体" w:cs="仿宋_GB2312"/>
          <w:bCs/>
          <w:color w:val="333333"/>
          <w:spacing w:val="6"/>
          <w:szCs w:val="30"/>
          <w:shd w:val="clear" w:color="auto" w:fill="FFFFFF"/>
        </w:rPr>
      </w:pPr>
      <w:r>
        <w:rPr>
          <w:rFonts w:hint="eastAsia" w:ascii="宋体" w:hAnsi="宋体" w:cs="仿宋_GB2312"/>
          <w:bCs/>
          <w:color w:val="333333"/>
          <w:spacing w:val="6"/>
          <w:szCs w:val="30"/>
          <w:shd w:val="clear" w:color="auto" w:fill="FFFFFF"/>
        </w:rPr>
        <w:t>依据长春市宽城区中医院提供的《2024年长春市宽城区卫生综合体建设项目实施进度的情况说明》，截止2024年末，本项目已完成主体工程，红线内配电工程、红线内外热力工程及换热站安装施工、红线外自来水配套工程等，室内装饰工程、消防工程、通风空调及弱电工程、医疗专项工程、地下室机械车位安装等进入收尾阶段。室外工程已完成约70%，院区围墙、道路绿化景观工程、污水处理设备安装、标识牌安装工作预计2025年5月末全部完成。</w:t>
      </w:r>
    </w:p>
    <w:p w14:paraId="61DB2924">
      <w:pPr>
        <w:pStyle w:val="4"/>
        <w:pageBreakBefore w:val="0"/>
        <w:wordWrap/>
        <w:overflowPunct/>
        <w:topLinePunct w:val="0"/>
        <w:bidi w:val="0"/>
        <w:spacing w:line="600" w:lineRule="exact"/>
        <w:ind w:firstLine="600"/>
        <w:textAlignment w:val="baseline"/>
        <w:rPr>
          <w:rFonts w:ascii="宋体" w:hAnsi="宋体"/>
        </w:rPr>
      </w:pPr>
      <w:bookmarkStart w:id="18" w:name="_Toc20185"/>
      <w:bookmarkStart w:id="19" w:name="_Toc15857"/>
      <w:bookmarkStart w:id="20" w:name="_Toc15875"/>
      <w:r>
        <w:rPr>
          <w:rFonts w:hint="eastAsia" w:ascii="宋体" w:hAnsi="宋体"/>
        </w:rPr>
        <w:t>5.资金筹措及到位情况</w:t>
      </w:r>
      <w:bookmarkEnd w:id="18"/>
      <w:bookmarkEnd w:id="19"/>
      <w:bookmarkEnd w:id="20"/>
    </w:p>
    <w:p w14:paraId="40A8D2E6">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（1）项目资金总额及组成</w:t>
      </w:r>
    </w:p>
    <w:p w14:paraId="0B38C777">
      <w:pPr>
        <w:pageBreakBefore w:val="0"/>
        <w:widowControl w:val="0"/>
        <w:wordWrap/>
        <w:overflowPunct/>
        <w:topLinePunct w:val="0"/>
        <w:bidi w:val="0"/>
        <w:spacing w:line="600" w:lineRule="exact"/>
        <w:ind w:firstLine="612"/>
        <w:jc w:val="both"/>
        <w:textAlignment w:val="baseline"/>
        <w:rPr>
          <w:rFonts w:ascii="宋体" w:hAnsi="宋体" w:cs="仿宋_GB2312"/>
          <w:color w:val="333333"/>
          <w:spacing w:val="6"/>
          <w:szCs w:val="30"/>
          <w:shd w:val="clear" w:color="auto" w:fill="FFFFFF"/>
        </w:rPr>
      </w:pPr>
      <w:r>
        <w:rPr>
          <w:rFonts w:hint="eastAsia" w:ascii="宋体" w:hAnsi="宋体" w:cs="仿宋_GB2312"/>
          <w:color w:val="333333"/>
          <w:spacing w:val="6"/>
          <w:szCs w:val="30"/>
          <w:shd w:val="clear" w:color="auto" w:fill="FFFFFF"/>
        </w:rPr>
        <w:t>依据《关于调整长春市宽城区卫生综合体建设项目初步设计批复的通知》（长宽发改字【2022】15号】），本项目总投资为22,314.88万元，其中拟利用地方财政预算资金5,814.88万元，占比26.06%；发行地方政府专项债券16,500.00万元，占比73.94%，其中：2022年发行专项债券7,000.00万元</w:t>
      </w:r>
      <w:r>
        <w:rPr>
          <w:rFonts w:hint="eastAsia" w:ascii="宋体" w:hAnsi="宋体" w:cs="仿宋_GB2312"/>
          <w:color w:val="333333"/>
          <w:spacing w:val="6"/>
          <w:szCs w:val="30"/>
          <w:shd w:val="clear" w:color="auto" w:fill="FFFFFF"/>
          <w:lang w:eastAsia="zh-CN"/>
        </w:rPr>
        <w:t>，</w:t>
      </w:r>
      <w:r>
        <w:rPr>
          <w:rFonts w:hint="eastAsia" w:ascii="宋体" w:hAnsi="宋体" w:cs="仿宋_GB2312"/>
          <w:color w:val="333333"/>
          <w:spacing w:val="6"/>
          <w:szCs w:val="30"/>
          <w:shd w:val="clear" w:color="auto" w:fill="FFFFFF"/>
          <w:lang w:val="en-US" w:eastAsia="zh-CN"/>
        </w:rPr>
        <w:t>2024年</w:t>
      </w:r>
      <w:r>
        <w:rPr>
          <w:rFonts w:hint="eastAsia" w:ascii="宋体" w:hAnsi="宋体" w:cs="仿宋_GB2312"/>
          <w:color w:val="333333"/>
          <w:spacing w:val="6"/>
          <w:szCs w:val="30"/>
          <w:shd w:val="clear" w:color="auto" w:fill="FFFFFF"/>
        </w:rPr>
        <w:t>发行专项债券</w:t>
      </w:r>
      <w:r>
        <w:rPr>
          <w:rFonts w:hint="eastAsia" w:ascii="宋体" w:hAnsi="宋体" w:cs="仿宋_GB2312"/>
          <w:color w:val="333333"/>
          <w:spacing w:val="6"/>
          <w:szCs w:val="30"/>
          <w:shd w:val="clear" w:color="auto" w:fill="FFFFFF"/>
          <w:lang w:val="en-US" w:eastAsia="zh-CN"/>
        </w:rPr>
        <w:t>9</w:t>
      </w:r>
      <w:r>
        <w:rPr>
          <w:rFonts w:hint="eastAsia" w:ascii="宋体" w:hAnsi="宋体" w:cs="仿宋_GB2312"/>
          <w:color w:val="333333"/>
          <w:spacing w:val="6"/>
          <w:szCs w:val="30"/>
          <w:shd w:val="clear" w:color="auto" w:fill="FFFFFF"/>
        </w:rPr>
        <w:t>,</w:t>
      </w:r>
      <w:r>
        <w:rPr>
          <w:rFonts w:hint="eastAsia" w:ascii="宋体" w:hAnsi="宋体" w:cs="仿宋_GB2312"/>
          <w:color w:val="333333"/>
          <w:spacing w:val="6"/>
          <w:szCs w:val="30"/>
          <w:shd w:val="clear" w:color="auto" w:fill="FFFFFF"/>
          <w:lang w:val="en-US" w:eastAsia="zh-CN"/>
        </w:rPr>
        <w:t>5</w:t>
      </w:r>
      <w:r>
        <w:rPr>
          <w:rFonts w:hint="eastAsia" w:ascii="宋体" w:hAnsi="宋体" w:cs="仿宋_GB2312"/>
          <w:color w:val="333333"/>
          <w:spacing w:val="6"/>
          <w:szCs w:val="30"/>
          <w:shd w:val="clear" w:color="auto" w:fill="FFFFFF"/>
        </w:rPr>
        <w:t>00.00万元。</w:t>
      </w:r>
    </w:p>
    <w:p w14:paraId="1B8641C2">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（2）资金投入</w:t>
      </w:r>
    </w:p>
    <w:p w14:paraId="6CC26948">
      <w:pPr>
        <w:pageBreakBefore w:val="0"/>
        <w:widowControl w:val="0"/>
        <w:wordWrap/>
        <w:overflowPunct/>
        <w:topLinePunct w:val="0"/>
        <w:bidi w:val="0"/>
        <w:spacing w:line="600" w:lineRule="exact"/>
        <w:ind w:firstLine="612"/>
        <w:jc w:val="both"/>
        <w:textAlignment w:val="baseline"/>
        <w:rPr>
          <w:rFonts w:ascii="宋体" w:hAnsi="宋体" w:cs="仿宋_GB2312"/>
          <w:color w:val="333333"/>
          <w:spacing w:val="6"/>
          <w:szCs w:val="30"/>
          <w:highlight w:val="none"/>
          <w:shd w:val="clear" w:color="auto" w:fill="FFFFFF"/>
        </w:rPr>
      </w:pPr>
      <w:r>
        <w:rPr>
          <w:rFonts w:hint="eastAsia" w:ascii="宋体" w:hAnsi="宋体" w:cs="仿宋_GB2312"/>
          <w:color w:val="333333"/>
          <w:spacing w:val="6"/>
          <w:szCs w:val="30"/>
          <w:shd w:val="clear" w:color="auto" w:fill="FFFFFF"/>
        </w:rPr>
        <w:t>截至202</w:t>
      </w:r>
      <w:r>
        <w:rPr>
          <w:rFonts w:hint="eastAsia" w:ascii="宋体" w:hAnsi="宋体" w:cs="仿宋_GB2312"/>
          <w:color w:val="333333"/>
          <w:spacing w:val="6"/>
          <w:szCs w:val="30"/>
          <w:shd w:val="clear" w:color="auto" w:fill="FFFFFF"/>
          <w:lang w:val="en-US" w:eastAsia="zh-CN"/>
        </w:rPr>
        <w:t>4</w:t>
      </w:r>
      <w:r>
        <w:rPr>
          <w:rFonts w:hint="eastAsia" w:ascii="宋体" w:hAnsi="宋体" w:cs="仿宋_GB2312"/>
          <w:color w:val="333333"/>
          <w:spacing w:val="6"/>
          <w:szCs w:val="30"/>
          <w:shd w:val="clear" w:color="auto" w:fill="FFFFFF"/>
        </w:rPr>
        <w:t>年末，本项目资金到位共计17,091.89万元，其中：财政预算资金591.89万元，专项债券资本金到位</w:t>
      </w:r>
      <w:r>
        <w:rPr>
          <w:rFonts w:hint="eastAsia" w:ascii="宋体" w:hAnsi="宋体" w:cs="仿宋_GB2312"/>
          <w:color w:val="333333"/>
          <w:spacing w:val="6"/>
          <w:szCs w:val="30"/>
          <w:shd w:val="clear" w:color="auto" w:fill="FFFFFF"/>
          <w:lang w:val="en-US" w:eastAsia="zh-CN"/>
        </w:rPr>
        <w:t>16</w:t>
      </w:r>
      <w:r>
        <w:rPr>
          <w:rFonts w:hint="eastAsia" w:ascii="宋体" w:hAnsi="宋体" w:cs="仿宋_GB2312"/>
          <w:color w:val="333333"/>
          <w:spacing w:val="6"/>
          <w:szCs w:val="30"/>
          <w:shd w:val="clear" w:color="auto" w:fill="FFFFFF"/>
        </w:rPr>
        <w:t>,</w:t>
      </w:r>
      <w:r>
        <w:rPr>
          <w:rFonts w:hint="eastAsia" w:ascii="宋体" w:hAnsi="宋体" w:cs="仿宋_GB2312"/>
          <w:color w:val="333333"/>
          <w:spacing w:val="6"/>
          <w:szCs w:val="30"/>
          <w:shd w:val="clear" w:color="auto" w:fill="FFFFFF"/>
          <w:lang w:val="en-US" w:eastAsia="zh-CN"/>
        </w:rPr>
        <w:t>5</w:t>
      </w:r>
      <w:r>
        <w:rPr>
          <w:rFonts w:hint="eastAsia" w:ascii="宋体" w:hAnsi="宋体" w:cs="仿宋_GB2312"/>
          <w:color w:val="333333"/>
          <w:spacing w:val="6"/>
          <w:szCs w:val="30"/>
          <w:shd w:val="clear" w:color="auto" w:fill="FFFFFF"/>
        </w:rPr>
        <w:t>00.00万元。</w:t>
      </w:r>
      <w:r>
        <w:rPr>
          <w:rFonts w:hint="eastAsia" w:ascii="宋体" w:hAnsi="宋体" w:cs="仿宋_GB2312"/>
          <w:color w:val="333333"/>
          <w:spacing w:val="6"/>
          <w:szCs w:val="30"/>
          <w:highlight w:val="none"/>
          <w:shd w:val="clear" w:color="auto" w:fill="FFFFFF"/>
        </w:rPr>
        <w:t>长春市宽城区财政局</w:t>
      </w:r>
      <w:r>
        <w:rPr>
          <w:rFonts w:hint="eastAsia" w:ascii="宋体" w:hAnsi="宋体" w:cs="仿宋_GB2312"/>
          <w:color w:val="333333"/>
          <w:spacing w:val="6"/>
          <w:szCs w:val="30"/>
          <w:highlight w:val="none"/>
          <w:shd w:val="clear" w:color="auto" w:fill="FFFFFF"/>
          <w:lang w:val="en-US" w:eastAsia="zh-CN"/>
        </w:rPr>
        <w:t>于</w:t>
      </w:r>
      <w:r>
        <w:rPr>
          <w:rFonts w:hint="eastAsia" w:ascii="宋体" w:hAnsi="宋体" w:cs="仿宋_GB2312"/>
          <w:color w:val="333333"/>
          <w:spacing w:val="6"/>
          <w:szCs w:val="30"/>
          <w:highlight w:val="none"/>
          <w:shd w:val="clear" w:color="auto" w:fill="FFFFFF"/>
        </w:rPr>
        <w:t>2022年7月拨付7,000.00万元专项债券资金</w:t>
      </w:r>
      <w:r>
        <w:rPr>
          <w:rFonts w:hint="eastAsia" w:ascii="宋体" w:hAnsi="宋体" w:cs="仿宋_GB2312"/>
          <w:color w:val="333333"/>
          <w:spacing w:val="6"/>
          <w:szCs w:val="30"/>
          <w:highlight w:val="none"/>
          <w:shd w:val="clear" w:color="auto" w:fill="FFFFFF"/>
          <w:lang w:eastAsia="zh-CN"/>
        </w:rPr>
        <w:t>，</w:t>
      </w:r>
      <w:r>
        <w:rPr>
          <w:rFonts w:hint="eastAsia" w:ascii="宋体" w:hAnsi="宋体" w:cs="仿宋_GB2312"/>
          <w:color w:val="333333"/>
          <w:spacing w:val="6"/>
          <w:szCs w:val="30"/>
          <w:highlight w:val="none"/>
          <w:shd w:val="clear" w:color="auto" w:fill="FFFFFF"/>
          <w:lang w:val="en-US" w:eastAsia="zh-CN"/>
        </w:rPr>
        <w:t>2024年9月拨付9,500.00万元专项债券资金</w:t>
      </w:r>
      <w:r>
        <w:rPr>
          <w:rFonts w:hint="eastAsia" w:ascii="宋体" w:hAnsi="宋体" w:cs="仿宋_GB2312"/>
          <w:color w:val="333333"/>
          <w:spacing w:val="6"/>
          <w:szCs w:val="30"/>
          <w:highlight w:val="none"/>
          <w:shd w:val="clear" w:color="auto" w:fill="FFFFFF"/>
        </w:rPr>
        <w:t>。具体情况如表1：</w:t>
      </w:r>
    </w:p>
    <w:tbl>
      <w:tblPr>
        <w:tblStyle w:val="14"/>
        <w:tblW w:w="895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417"/>
        <w:gridCol w:w="3696"/>
        <w:gridCol w:w="1"/>
        <w:gridCol w:w="1847"/>
        <w:gridCol w:w="1"/>
        <w:gridCol w:w="1239"/>
        <w:gridCol w:w="1"/>
      </w:tblGrid>
      <w:tr w14:paraId="4B415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jc w:val="center"/>
        </w:trPr>
        <w:tc>
          <w:tcPr>
            <w:tcW w:w="7710" w:type="dxa"/>
            <w:gridSpan w:val="6"/>
            <w:tcBorders>
              <w:top w:val="nil"/>
              <w:left w:val="nil"/>
              <w:bottom w:val="single" w:color="auto" w:sz="4" w:space="0"/>
              <w:right w:val="nil"/>
            </w:tcBorders>
            <w:vAlign w:val="center"/>
          </w:tcPr>
          <w:p w14:paraId="0006906C">
            <w:pPr>
              <w:widowControl w:val="0"/>
              <w:spacing w:line="240" w:lineRule="exact"/>
              <w:ind w:firstLine="0" w:firstLineChars="0"/>
              <w:jc w:val="center"/>
              <w:rPr>
                <w:rFonts w:ascii="Arial Narrow" w:hAnsi="Arial Narrow" w:cs="Arial Narrow" w:eastAsiaTheme="minorEastAsia"/>
                <w:b/>
                <w:bCs/>
                <w:spacing w:val="7"/>
                <w:sz w:val="18"/>
                <w:szCs w:val="18"/>
              </w:rPr>
            </w:pPr>
            <w:r>
              <w:rPr>
                <w:rFonts w:ascii="Arial Narrow" w:hAnsi="Arial Narrow" w:cs="Arial Narrow" w:eastAsiaTheme="minorEastAsia"/>
                <w:b/>
                <w:bCs/>
                <w:spacing w:val="3"/>
                <w:sz w:val="20"/>
                <w:szCs w:val="20"/>
              </w:rPr>
              <w:t>表1－债券资金拨付情况</w:t>
            </w:r>
            <w:r>
              <w:rPr>
                <w:rFonts w:ascii="Arial Narrow" w:hAnsi="Arial Narrow" w:cs="Arial Narrow" w:eastAsiaTheme="minorEastAsia"/>
                <w:b/>
                <w:bCs/>
                <w:spacing w:val="2"/>
                <w:sz w:val="20"/>
                <w:szCs w:val="20"/>
              </w:rPr>
              <w:t>表</w:t>
            </w:r>
          </w:p>
        </w:tc>
        <w:tc>
          <w:tcPr>
            <w:tcW w:w="1240" w:type="dxa"/>
            <w:gridSpan w:val="2"/>
            <w:tcBorders>
              <w:top w:val="nil"/>
              <w:left w:val="nil"/>
              <w:bottom w:val="single" w:color="auto" w:sz="4" w:space="0"/>
              <w:right w:val="nil"/>
            </w:tcBorders>
            <w:vAlign w:val="center"/>
          </w:tcPr>
          <w:p w14:paraId="320BD47E">
            <w:pPr>
              <w:widowControl w:val="0"/>
              <w:spacing w:line="240" w:lineRule="exact"/>
              <w:ind w:firstLine="0" w:firstLineChars="0"/>
              <w:jc w:val="right"/>
              <w:rPr>
                <w:rFonts w:ascii="Arial Narrow" w:hAnsi="Arial Narrow" w:cs="Arial Narrow" w:eastAsiaTheme="minorEastAsia"/>
                <w:b/>
                <w:bCs/>
                <w:spacing w:val="4"/>
                <w:sz w:val="18"/>
                <w:szCs w:val="18"/>
              </w:rPr>
            </w:pPr>
            <w:r>
              <w:rPr>
                <w:rFonts w:ascii="Arial Narrow" w:hAnsi="Arial Narrow" w:cs="Arial Narrow" w:eastAsiaTheme="minorEastAsia"/>
                <w:spacing w:val="7"/>
                <w:sz w:val="18"/>
                <w:szCs w:val="18"/>
              </w:rPr>
              <w:t>单位：万</w:t>
            </w:r>
            <w:r>
              <w:rPr>
                <w:rFonts w:ascii="Arial Narrow" w:hAnsi="Arial Narrow" w:cs="Arial Narrow" w:eastAsiaTheme="minorEastAsia"/>
                <w:spacing w:val="6"/>
                <w:sz w:val="18"/>
                <w:szCs w:val="18"/>
              </w:rPr>
              <w:t>元</w:t>
            </w:r>
          </w:p>
        </w:tc>
      </w:tr>
      <w:tr w14:paraId="75F26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 w:type="dxa"/>
          <w:trHeight w:val="567" w:hRule="atLeast"/>
          <w:jc w:val="center"/>
        </w:trPr>
        <w:tc>
          <w:tcPr>
            <w:tcW w:w="748" w:type="dxa"/>
            <w:tcBorders>
              <w:top w:val="single" w:color="auto" w:sz="4" w:space="0"/>
            </w:tcBorders>
            <w:vAlign w:val="center"/>
          </w:tcPr>
          <w:p w14:paraId="0595DEE4">
            <w:pPr>
              <w:widowControl w:val="0"/>
              <w:spacing w:line="240" w:lineRule="exact"/>
              <w:ind w:firstLine="0" w:firstLineChars="0"/>
              <w:jc w:val="center"/>
              <w:rPr>
                <w:rFonts w:ascii="Arial Narrow" w:hAnsi="Arial Narrow" w:cs="Arial Narrow" w:eastAsiaTheme="minorEastAsia"/>
                <w:b/>
                <w:bCs/>
                <w:sz w:val="18"/>
                <w:szCs w:val="18"/>
              </w:rPr>
            </w:pPr>
            <w:r>
              <w:rPr>
                <w:rFonts w:ascii="Arial Narrow" w:hAnsi="Arial Narrow" w:cs="Arial Narrow" w:eastAsiaTheme="minorEastAsia"/>
                <w:b/>
                <w:bCs/>
                <w:spacing w:val="6"/>
                <w:sz w:val="18"/>
                <w:szCs w:val="18"/>
              </w:rPr>
              <w:t>序号</w:t>
            </w:r>
          </w:p>
        </w:tc>
        <w:tc>
          <w:tcPr>
            <w:tcW w:w="1417" w:type="dxa"/>
            <w:tcBorders>
              <w:top w:val="single" w:color="auto" w:sz="4" w:space="0"/>
            </w:tcBorders>
            <w:vAlign w:val="center"/>
          </w:tcPr>
          <w:p w14:paraId="1DFB66A7">
            <w:pPr>
              <w:widowControl w:val="0"/>
              <w:spacing w:line="240" w:lineRule="exact"/>
              <w:ind w:firstLine="0" w:firstLineChars="0"/>
              <w:jc w:val="center"/>
              <w:rPr>
                <w:rFonts w:ascii="Arial Narrow" w:hAnsi="Arial Narrow" w:cs="Arial Narrow" w:eastAsiaTheme="minorEastAsia"/>
                <w:b/>
                <w:bCs/>
                <w:sz w:val="18"/>
                <w:szCs w:val="18"/>
              </w:rPr>
            </w:pPr>
            <w:r>
              <w:rPr>
                <w:rFonts w:ascii="Arial Narrow" w:hAnsi="Arial Narrow" w:cs="Arial Narrow" w:eastAsiaTheme="minorEastAsia"/>
                <w:b/>
                <w:bCs/>
                <w:spacing w:val="10"/>
                <w:sz w:val="18"/>
                <w:szCs w:val="18"/>
              </w:rPr>
              <w:t>资</w:t>
            </w:r>
            <w:r>
              <w:rPr>
                <w:rFonts w:ascii="Arial Narrow" w:hAnsi="Arial Narrow" w:cs="Arial Narrow" w:eastAsiaTheme="minorEastAsia"/>
                <w:b/>
                <w:bCs/>
                <w:spacing w:val="6"/>
                <w:sz w:val="18"/>
                <w:szCs w:val="18"/>
              </w:rPr>
              <w:t>金拨付时间</w:t>
            </w:r>
          </w:p>
        </w:tc>
        <w:tc>
          <w:tcPr>
            <w:tcW w:w="3696" w:type="dxa"/>
            <w:tcBorders>
              <w:top w:val="single" w:color="auto" w:sz="4" w:space="0"/>
            </w:tcBorders>
            <w:vAlign w:val="center"/>
          </w:tcPr>
          <w:p w14:paraId="2E4CBBE2">
            <w:pPr>
              <w:widowControl w:val="0"/>
              <w:spacing w:line="240" w:lineRule="exact"/>
              <w:ind w:firstLine="0" w:firstLineChars="0"/>
              <w:jc w:val="center"/>
              <w:rPr>
                <w:rFonts w:ascii="Arial Narrow" w:hAnsi="Arial Narrow" w:cs="Arial Narrow" w:eastAsiaTheme="minorEastAsia"/>
                <w:b/>
                <w:bCs/>
                <w:sz w:val="18"/>
                <w:szCs w:val="18"/>
              </w:rPr>
            </w:pPr>
            <w:r>
              <w:rPr>
                <w:rFonts w:ascii="Arial Narrow" w:hAnsi="Arial Narrow" w:cs="Arial Narrow" w:eastAsiaTheme="minorEastAsia"/>
                <w:b/>
                <w:bCs/>
                <w:spacing w:val="12"/>
                <w:sz w:val="18"/>
                <w:szCs w:val="18"/>
              </w:rPr>
              <w:t>拨</w:t>
            </w:r>
            <w:r>
              <w:rPr>
                <w:rFonts w:ascii="Arial Narrow" w:hAnsi="Arial Narrow" w:cs="Arial Narrow" w:eastAsiaTheme="minorEastAsia"/>
                <w:b/>
                <w:bCs/>
                <w:spacing w:val="8"/>
                <w:sz w:val="18"/>
                <w:szCs w:val="18"/>
              </w:rPr>
              <w:t>付指标文件</w:t>
            </w:r>
          </w:p>
        </w:tc>
        <w:tc>
          <w:tcPr>
            <w:tcW w:w="1848" w:type="dxa"/>
            <w:gridSpan w:val="2"/>
            <w:tcBorders>
              <w:top w:val="single" w:color="auto" w:sz="4" w:space="0"/>
            </w:tcBorders>
            <w:vAlign w:val="center"/>
          </w:tcPr>
          <w:p w14:paraId="4299698E">
            <w:pPr>
              <w:widowControl w:val="0"/>
              <w:spacing w:line="240" w:lineRule="exact"/>
              <w:ind w:firstLine="0" w:firstLineChars="0"/>
              <w:jc w:val="center"/>
              <w:rPr>
                <w:rFonts w:ascii="Arial Narrow" w:hAnsi="Arial Narrow" w:cs="Arial Narrow" w:eastAsiaTheme="minorEastAsia"/>
                <w:b/>
                <w:bCs/>
                <w:sz w:val="18"/>
                <w:szCs w:val="18"/>
              </w:rPr>
            </w:pPr>
            <w:r>
              <w:rPr>
                <w:rFonts w:ascii="Arial Narrow" w:hAnsi="Arial Narrow" w:cs="Arial Narrow" w:eastAsiaTheme="minorEastAsia"/>
                <w:b/>
                <w:bCs/>
                <w:spacing w:val="7"/>
                <w:sz w:val="18"/>
                <w:szCs w:val="18"/>
              </w:rPr>
              <w:t>指标文</w:t>
            </w:r>
            <w:r>
              <w:rPr>
                <w:rFonts w:ascii="Arial Narrow" w:hAnsi="Arial Narrow" w:cs="Arial Narrow" w:eastAsiaTheme="minorEastAsia"/>
                <w:b/>
                <w:bCs/>
                <w:spacing w:val="6"/>
                <w:sz w:val="18"/>
                <w:szCs w:val="18"/>
              </w:rPr>
              <w:t>号</w:t>
            </w:r>
          </w:p>
        </w:tc>
        <w:tc>
          <w:tcPr>
            <w:tcW w:w="1240" w:type="dxa"/>
            <w:gridSpan w:val="2"/>
            <w:tcBorders>
              <w:top w:val="single" w:color="auto" w:sz="4" w:space="0"/>
            </w:tcBorders>
            <w:vAlign w:val="center"/>
          </w:tcPr>
          <w:p w14:paraId="0225F417">
            <w:pPr>
              <w:widowControl w:val="0"/>
              <w:spacing w:line="240" w:lineRule="exact"/>
              <w:ind w:firstLine="0" w:firstLineChars="0"/>
              <w:jc w:val="center"/>
              <w:rPr>
                <w:rFonts w:ascii="Arial Narrow" w:hAnsi="Arial Narrow" w:cs="Arial Narrow" w:eastAsiaTheme="minorEastAsia"/>
                <w:b/>
                <w:bCs/>
                <w:sz w:val="18"/>
                <w:szCs w:val="18"/>
              </w:rPr>
            </w:pPr>
            <w:r>
              <w:rPr>
                <w:rFonts w:ascii="Arial Narrow" w:hAnsi="Arial Narrow" w:cs="Arial Narrow" w:eastAsiaTheme="minorEastAsia"/>
                <w:b/>
                <w:bCs/>
                <w:spacing w:val="4"/>
                <w:sz w:val="18"/>
                <w:szCs w:val="18"/>
              </w:rPr>
              <w:t>金额</w:t>
            </w:r>
          </w:p>
        </w:tc>
      </w:tr>
      <w:tr w14:paraId="139A5C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 w:type="dxa"/>
          <w:trHeight w:val="454" w:hRule="atLeast"/>
          <w:jc w:val="center"/>
        </w:trPr>
        <w:tc>
          <w:tcPr>
            <w:tcW w:w="748" w:type="dxa"/>
            <w:vAlign w:val="center"/>
          </w:tcPr>
          <w:p w14:paraId="4A293DB4">
            <w:pPr>
              <w:widowControl w:val="0"/>
              <w:spacing w:line="240" w:lineRule="exact"/>
              <w:ind w:firstLine="0" w:firstLineChars="0"/>
              <w:jc w:val="center"/>
              <w:rPr>
                <w:rFonts w:ascii="Arial Narrow" w:hAnsi="Arial Narrow" w:cs="Arial Narrow" w:eastAsiaTheme="minorEastAsia"/>
                <w:sz w:val="18"/>
                <w:szCs w:val="18"/>
              </w:rPr>
            </w:pPr>
            <w:r>
              <w:rPr>
                <w:rFonts w:ascii="Arial Narrow" w:hAnsi="Arial Narrow" w:cs="Arial Narrow" w:eastAsiaTheme="minorEastAsia"/>
                <w:sz w:val="18"/>
                <w:szCs w:val="18"/>
              </w:rPr>
              <w:t>1</w:t>
            </w:r>
          </w:p>
        </w:tc>
        <w:tc>
          <w:tcPr>
            <w:tcW w:w="1417" w:type="dxa"/>
            <w:vAlign w:val="center"/>
          </w:tcPr>
          <w:p w14:paraId="2D08C29B">
            <w:pPr>
              <w:widowControl w:val="0"/>
              <w:spacing w:line="240" w:lineRule="exact"/>
              <w:ind w:firstLine="0" w:firstLineChars="0"/>
              <w:jc w:val="center"/>
              <w:rPr>
                <w:rFonts w:ascii="Arial Narrow" w:hAnsi="Arial Narrow" w:cs="Arial Narrow" w:eastAsiaTheme="minorEastAsia"/>
                <w:sz w:val="18"/>
                <w:szCs w:val="18"/>
              </w:rPr>
            </w:pPr>
            <w:r>
              <w:rPr>
                <w:rFonts w:ascii="Arial Narrow" w:hAnsi="Arial Narrow" w:cs="Arial Narrow" w:eastAsiaTheme="minorEastAsia"/>
                <w:spacing w:val="4"/>
                <w:sz w:val="18"/>
                <w:szCs w:val="18"/>
              </w:rPr>
              <w:t>2</w:t>
            </w:r>
            <w:r>
              <w:rPr>
                <w:rFonts w:ascii="Arial Narrow" w:hAnsi="Arial Narrow" w:cs="Arial Narrow" w:eastAsiaTheme="minorEastAsia"/>
                <w:spacing w:val="3"/>
                <w:sz w:val="18"/>
                <w:szCs w:val="18"/>
              </w:rPr>
              <w:t>022.07.15</w:t>
            </w:r>
          </w:p>
        </w:tc>
        <w:tc>
          <w:tcPr>
            <w:tcW w:w="3696" w:type="dxa"/>
            <w:vAlign w:val="center"/>
          </w:tcPr>
          <w:p w14:paraId="7429985B">
            <w:pPr>
              <w:widowControl w:val="0"/>
              <w:spacing w:line="240" w:lineRule="exact"/>
              <w:ind w:firstLine="0" w:firstLineChars="0"/>
              <w:jc w:val="both"/>
              <w:rPr>
                <w:rFonts w:ascii="Arial Narrow" w:hAnsi="Arial Narrow" w:cs="Arial Narrow" w:eastAsiaTheme="minorEastAsia"/>
                <w:sz w:val="18"/>
                <w:szCs w:val="18"/>
              </w:rPr>
            </w:pPr>
            <w:r>
              <w:rPr>
                <w:rFonts w:ascii="Arial Narrow" w:hAnsi="Arial Narrow" w:cs="Arial Narrow" w:eastAsiaTheme="minorEastAsia"/>
                <w:spacing w:val="16"/>
                <w:sz w:val="18"/>
                <w:szCs w:val="18"/>
              </w:rPr>
              <w:t>长春市宽城区财政局《长春市宽城区财政局关于拨付2022年第5批新增地方专项债券资金的通知》</w:t>
            </w:r>
          </w:p>
        </w:tc>
        <w:tc>
          <w:tcPr>
            <w:tcW w:w="1848" w:type="dxa"/>
            <w:gridSpan w:val="2"/>
            <w:vAlign w:val="center"/>
          </w:tcPr>
          <w:p w14:paraId="7866B8A6">
            <w:pPr>
              <w:widowControl w:val="0"/>
              <w:spacing w:line="240" w:lineRule="exact"/>
              <w:ind w:firstLine="0" w:firstLineChars="0"/>
              <w:jc w:val="center"/>
              <w:rPr>
                <w:rFonts w:ascii="Arial Narrow" w:hAnsi="Arial Narrow" w:cs="Arial Narrow" w:eastAsiaTheme="minorEastAsia"/>
                <w:sz w:val="18"/>
                <w:szCs w:val="18"/>
              </w:rPr>
            </w:pPr>
            <w:r>
              <w:rPr>
                <w:rFonts w:ascii="Arial Narrow" w:hAnsi="Arial Narrow" w:cs="Arial Narrow" w:eastAsiaTheme="minorEastAsia"/>
                <w:spacing w:val="3"/>
                <w:sz w:val="18"/>
                <w:szCs w:val="18"/>
              </w:rPr>
              <w:t>宽财债指【2022】8号</w:t>
            </w:r>
          </w:p>
        </w:tc>
        <w:tc>
          <w:tcPr>
            <w:tcW w:w="1240" w:type="dxa"/>
            <w:gridSpan w:val="2"/>
            <w:vAlign w:val="center"/>
          </w:tcPr>
          <w:p w14:paraId="3F8A8D26">
            <w:pPr>
              <w:widowControl w:val="0"/>
              <w:spacing w:line="240" w:lineRule="exact"/>
              <w:ind w:firstLine="0" w:firstLineChars="0"/>
              <w:jc w:val="right"/>
              <w:rPr>
                <w:rFonts w:ascii="Arial Narrow" w:hAnsi="Arial Narrow" w:cs="Arial Narrow" w:eastAsiaTheme="minorEastAsia"/>
                <w:sz w:val="18"/>
                <w:szCs w:val="18"/>
              </w:rPr>
            </w:pPr>
            <w:r>
              <w:rPr>
                <w:rFonts w:ascii="Arial Narrow" w:hAnsi="Arial Narrow" w:cs="Arial Narrow" w:eastAsiaTheme="minorEastAsia"/>
                <w:spacing w:val="1"/>
                <w:sz w:val="18"/>
                <w:szCs w:val="18"/>
              </w:rPr>
              <w:t>7,000.00</w:t>
            </w:r>
          </w:p>
        </w:tc>
      </w:tr>
      <w:tr w14:paraId="72224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 w:type="dxa"/>
          <w:trHeight w:val="629" w:hRule="atLeast"/>
          <w:jc w:val="center"/>
        </w:trPr>
        <w:tc>
          <w:tcPr>
            <w:tcW w:w="748" w:type="dxa"/>
            <w:vAlign w:val="center"/>
          </w:tcPr>
          <w:p w14:paraId="0D43AE83">
            <w:pPr>
              <w:widowControl w:val="0"/>
              <w:spacing w:line="240" w:lineRule="exact"/>
              <w:ind w:firstLine="0" w:firstLineChars="0"/>
              <w:jc w:val="center"/>
              <w:rPr>
                <w:rFonts w:hint="eastAsia" w:ascii="Arial Narrow" w:hAnsi="Arial Narrow" w:cs="Arial Narrow" w:eastAsiaTheme="minorEastAsia"/>
                <w:sz w:val="18"/>
                <w:szCs w:val="18"/>
                <w:lang w:val="en-US" w:eastAsia="zh-CN"/>
              </w:rPr>
            </w:pPr>
            <w:r>
              <w:rPr>
                <w:rFonts w:hint="eastAsia" w:ascii="Arial Narrow" w:hAnsi="Arial Narrow" w:cs="Arial Narrow" w:eastAsiaTheme="minorEastAsia"/>
                <w:sz w:val="18"/>
                <w:szCs w:val="18"/>
                <w:lang w:val="en-US" w:eastAsia="zh-CN"/>
              </w:rPr>
              <w:t>2</w:t>
            </w:r>
          </w:p>
        </w:tc>
        <w:tc>
          <w:tcPr>
            <w:tcW w:w="1417" w:type="dxa"/>
            <w:vAlign w:val="center"/>
          </w:tcPr>
          <w:p w14:paraId="6F0F7611">
            <w:pPr>
              <w:widowControl w:val="0"/>
              <w:spacing w:line="240" w:lineRule="exact"/>
              <w:ind w:firstLine="0" w:firstLineChars="0"/>
              <w:jc w:val="center"/>
              <w:rPr>
                <w:rFonts w:hint="default" w:ascii="Arial Narrow" w:hAnsi="Arial Narrow" w:cs="Arial Narrow" w:eastAsiaTheme="minorEastAsia"/>
                <w:spacing w:val="4"/>
                <w:sz w:val="18"/>
                <w:szCs w:val="18"/>
                <w:lang w:val="en-US" w:eastAsia="zh-CN"/>
              </w:rPr>
            </w:pPr>
            <w:r>
              <w:rPr>
                <w:rFonts w:hint="eastAsia" w:ascii="Arial Narrow" w:hAnsi="Arial Narrow" w:cs="Arial Narrow" w:eastAsiaTheme="minorEastAsia"/>
                <w:spacing w:val="4"/>
                <w:sz w:val="18"/>
                <w:szCs w:val="18"/>
                <w:lang w:val="en-US" w:eastAsia="zh-CN"/>
              </w:rPr>
              <w:t>2024.09.23</w:t>
            </w:r>
          </w:p>
        </w:tc>
        <w:tc>
          <w:tcPr>
            <w:tcW w:w="3696" w:type="dxa"/>
            <w:vAlign w:val="center"/>
          </w:tcPr>
          <w:p w14:paraId="2AE616F6">
            <w:pPr>
              <w:widowControl w:val="0"/>
              <w:spacing w:line="240" w:lineRule="exact"/>
              <w:ind w:firstLine="0" w:firstLineChars="0"/>
              <w:jc w:val="both"/>
              <w:rPr>
                <w:rFonts w:ascii="Arial Narrow" w:hAnsi="Arial Narrow" w:cs="Arial Narrow" w:eastAsiaTheme="minorEastAsia"/>
                <w:spacing w:val="16"/>
                <w:sz w:val="18"/>
                <w:szCs w:val="18"/>
              </w:rPr>
            </w:pPr>
            <w:r>
              <w:rPr>
                <w:rFonts w:ascii="Arial Narrow" w:hAnsi="Arial Narrow" w:cs="Arial Narrow" w:eastAsiaTheme="minorEastAsia"/>
                <w:spacing w:val="16"/>
                <w:sz w:val="18"/>
                <w:szCs w:val="18"/>
              </w:rPr>
              <w:t>长春市宽城区财政局《长春市宽城区财政局关于拨付202</w:t>
            </w:r>
            <w:r>
              <w:rPr>
                <w:rFonts w:hint="eastAsia" w:ascii="Arial Narrow" w:hAnsi="Arial Narrow" w:cs="Arial Narrow" w:eastAsiaTheme="minorEastAsia"/>
                <w:spacing w:val="16"/>
                <w:sz w:val="18"/>
                <w:szCs w:val="18"/>
                <w:lang w:val="en-US" w:eastAsia="zh-CN"/>
              </w:rPr>
              <w:t>4</w:t>
            </w:r>
            <w:r>
              <w:rPr>
                <w:rFonts w:ascii="Arial Narrow" w:hAnsi="Arial Narrow" w:cs="Arial Narrow" w:eastAsiaTheme="minorEastAsia"/>
                <w:spacing w:val="16"/>
                <w:sz w:val="18"/>
                <w:szCs w:val="18"/>
              </w:rPr>
              <w:t>年第5批新增地方专项债券资金的通知》</w:t>
            </w:r>
          </w:p>
        </w:tc>
        <w:tc>
          <w:tcPr>
            <w:tcW w:w="1848" w:type="dxa"/>
            <w:gridSpan w:val="2"/>
            <w:vAlign w:val="center"/>
          </w:tcPr>
          <w:p w14:paraId="72DA0929">
            <w:pPr>
              <w:widowControl w:val="0"/>
              <w:spacing w:line="240" w:lineRule="exact"/>
              <w:ind w:firstLine="0" w:firstLineChars="0"/>
              <w:jc w:val="center"/>
              <w:rPr>
                <w:rFonts w:ascii="Arial Narrow" w:hAnsi="Arial Narrow" w:cs="Arial Narrow" w:eastAsiaTheme="minorEastAsia"/>
                <w:spacing w:val="3"/>
                <w:sz w:val="18"/>
                <w:szCs w:val="18"/>
              </w:rPr>
            </w:pPr>
            <w:r>
              <w:rPr>
                <w:rFonts w:ascii="Arial Narrow" w:hAnsi="Arial Narrow" w:cs="Arial Narrow" w:eastAsiaTheme="minorEastAsia"/>
                <w:spacing w:val="3"/>
                <w:sz w:val="18"/>
                <w:szCs w:val="18"/>
              </w:rPr>
              <w:t>宽财债指【202</w:t>
            </w:r>
            <w:r>
              <w:rPr>
                <w:rFonts w:hint="eastAsia" w:ascii="Arial Narrow" w:hAnsi="Arial Narrow" w:cs="Arial Narrow" w:eastAsiaTheme="minorEastAsia"/>
                <w:spacing w:val="3"/>
                <w:sz w:val="18"/>
                <w:szCs w:val="18"/>
                <w:lang w:val="en-US" w:eastAsia="zh-CN"/>
              </w:rPr>
              <w:t>4</w:t>
            </w:r>
            <w:r>
              <w:rPr>
                <w:rFonts w:ascii="Arial Narrow" w:hAnsi="Arial Narrow" w:cs="Arial Narrow" w:eastAsiaTheme="minorEastAsia"/>
                <w:spacing w:val="3"/>
                <w:sz w:val="18"/>
                <w:szCs w:val="18"/>
              </w:rPr>
              <w:t>】</w:t>
            </w:r>
            <w:r>
              <w:rPr>
                <w:rFonts w:hint="eastAsia" w:ascii="Arial Narrow" w:hAnsi="Arial Narrow" w:cs="Arial Narrow" w:eastAsiaTheme="minorEastAsia"/>
                <w:spacing w:val="3"/>
                <w:sz w:val="18"/>
                <w:szCs w:val="18"/>
                <w:lang w:val="en-US" w:eastAsia="zh-CN"/>
              </w:rPr>
              <w:t>7</w:t>
            </w:r>
            <w:r>
              <w:rPr>
                <w:rFonts w:ascii="Arial Narrow" w:hAnsi="Arial Narrow" w:cs="Arial Narrow" w:eastAsiaTheme="minorEastAsia"/>
                <w:spacing w:val="3"/>
                <w:sz w:val="18"/>
                <w:szCs w:val="18"/>
              </w:rPr>
              <w:t>号</w:t>
            </w:r>
          </w:p>
        </w:tc>
        <w:tc>
          <w:tcPr>
            <w:tcW w:w="1240" w:type="dxa"/>
            <w:gridSpan w:val="2"/>
            <w:vAlign w:val="center"/>
          </w:tcPr>
          <w:p w14:paraId="273BA1E9">
            <w:pPr>
              <w:widowControl w:val="0"/>
              <w:spacing w:line="240" w:lineRule="exact"/>
              <w:ind w:firstLine="0" w:firstLineChars="0"/>
              <w:jc w:val="right"/>
              <w:rPr>
                <w:rFonts w:ascii="Arial Narrow" w:hAnsi="Arial Narrow" w:cs="Arial Narrow" w:eastAsiaTheme="minorEastAsia"/>
                <w:spacing w:val="1"/>
                <w:sz w:val="18"/>
                <w:szCs w:val="18"/>
              </w:rPr>
            </w:pPr>
            <w:r>
              <w:rPr>
                <w:rFonts w:hint="eastAsia" w:ascii="Arial Narrow" w:hAnsi="Arial Narrow" w:cs="Arial Narrow" w:eastAsiaTheme="minorEastAsia"/>
                <w:spacing w:val="1"/>
                <w:sz w:val="18"/>
                <w:szCs w:val="18"/>
                <w:lang w:val="en-US" w:eastAsia="zh-CN"/>
              </w:rPr>
              <w:t>9</w:t>
            </w:r>
            <w:r>
              <w:rPr>
                <w:rFonts w:ascii="Arial Narrow" w:hAnsi="Arial Narrow" w:cs="Arial Narrow" w:eastAsiaTheme="minorEastAsia"/>
                <w:spacing w:val="1"/>
                <w:sz w:val="18"/>
                <w:szCs w:val="18"/>
              </w:rPr>
              <w:t>,</w:t>
            </w:r>
            <w:r>
              <w:rPr>
                <w:rFonts w:hint="eastAsia" w:ascii="Arial Narrow" w:hAnsi="Arial Narrow" w:cs="Arial Narrow" w:eastAsiaTheme="minorEastAsia"/>
                <w:spacing w:val="1"/>
                <w:sz w:val="18"/>
                <w:szCs w:val="18"/>
                <w:lang w:val="en-US" w:eastAsia="zh-CN"/>
              </w:rPr>
              <w:t>5</w:t>
            </w:r>
            <w:r>
              <w:rPr>
                <w:rFonts w:ascii="Arial Narrow" w:hAnsi="Arial Narrow" w:cs="Arial Narrow" w:eastAsiaTheme="minorEastAsia"/>
                <w:spacing w:val="1"/>
                <w:sz w:val="18"/>
                <w:szCs w:val="18"/>
              </w:rPr>
              <w:t>00.00</w:t>
            </w:r>
          </w:p>
        </w:tc>
      </w:tr>
      <w:tr w14:paraId="38502E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jc w:val="center"/>
        </w:trPr>
        <w:tc>
          <w:tcPr>
            <w:tcW w:w="5862" w:type="dxa"/>
            <w:gridSpan w:val="4"/>
            <w:vAlign w:val="center"/>
          </w:tcPr>
          <w:p w14:paraId="65777D77">
            <w:pPr>
              <w:widowControl w:val="0"/>
              <w:spacing w:line="240" w:lineRule="exact"/>
              <w:ind w:firstLine="0" w:firstLineChars="0"/>
              <w:jc w:val="center"/>
              <w:rPr>
                <w:rFonts w:ascii="Arial Narrow" w:hAnsi="Arial Narrow" w:cs="Arial Narrow" w:eastAsiaTheme="minorEastAsia"/>
                <w:b/>
                <w:bCs/>
                <w:sz w:val="18"/>
                <w:szCs w:val="18"/>
              </w:rPr>
            </w:pPr>
            <w:r>
              <w:rPr>
                <w:rFonts w:ascii="Arial Narrow" w:hAnsi="Arial Narrow" w:cs="Arial Narrow" w:eastAsiaTheme="minorEastAsia"/>
                <w:b/>
                <w:bCs/>
                <w:spacing w:val="4"/>
                <w:sz w:val="18"/>
                <w:szCs w:val="18"/>
              </w:rPr>
              <w:t>合</w:t>
            </w:r>
            <w:r>
              <w:rPr>
                <w:rFonts w:ascii="Arial Narrow" w:hAnsi="Arial Narrow" w:cs="Arial Narrow" w:eastAsiaTheme="minorEastAsia"/>
                <w:b/>
                <w:bCs/>
                <w:spacing w:val="3"/>
                <w:sz w:val="18"/>
                <w:szCs w:val="18"/>
              </w:rPr>
              <w:t>计</w:t>
            </w:r>
          </w:p>
        </w:tc>
        <w:tc>
          <w:tcPr>
            <w:tcW w:w="1848" w:type="dxa"/>
            <w:gridSpan w:val="2"/>
            <w:vAlign w:val="center"/>
          </w:tcPr>
          <w:p w14:paraId="57C18578">
            <w:pPr>
              <w:widowControl w:val="0"/>
              <w:spacing w:line="240" w:lineRule="exact"/>
              <w:ind w:firstLine="0" w:firstLineChars="0"/>
              <w:jc w:val="center"/>
              <w:rPr>
                <w:rFonts w:ascii="Arial Narrow" w:hAnsi="Arial Narrow" w:cs="Arial Narrow" w:eastAsiaTheme="minorEastAsia"/>
                <w:b/>
                <w:bCs/>
                <w:sz w:val="18"/>
                <w:szCs w:val="18"/>
              </w:rPr>
            </w:pPr>
          </w:p>
        </w:tc>
        <w:tc>
          <w:tcPr>
            <w:tcW w:w="1240" w:type="dxa"/>
            <w:gridSpan w:val="2"/>
            <w:vAlign w:val="center"/>
          </w:tcPr>
          <w:p w14:paraId="240AED98">
            <w:pPr>
              <w:widowControl w:val="0"/>
              <w:spacing w:line="240" w:lineRule="exact"/>
              <w:ind w:firstLine="0" w:firstLineChars="0"/>
              <w:jc w:val="right"/>
              <w:rPr>
                <w:rFonts w:ascii="Arial Narrow" w:hAnsi="Arial Narrow" w:cs="Arial Narrow" w:eastAsiaTheme="minorEastAsia"/>
                <w:b/>
                <w:bCs/>
                <w:sz w:val="18"/>
                <w:szCs w:val="18"/>
              </w:rPr>
            </w:pPr>
            <w:r>
              <w:rPr>
                <w:rFonts w:hint="eastAsia" w:ascii="Arial Narrow" w:hAnsi="Arial Narrow" w:cs="Arial Narrow" w:eastAsiaTheme="minorEastAsia"/>
                <w:b/>
                <w:bCs/>
                <w:spacing w:val="1"/>
                <w:sz w:val="18"/>
                <w:szCs w:val="18"/>
                <w:lang w:val="en-US" w:eastAsia="zh-CN"/>
              </w:rPr>
              <w:t>16</w:t>
            </w:r>
            <w:r>
              <w:rPr>
                <w:rFonts w:ascii="Arial Narrow" w:hAnsi="Arial Narrow" w:cs="Arial Narrow" w:eastAsiaTheme="minorEastAsia"/>
                <w:b/>
                <w:bCs/>
                <w:spacing w:val="1"/>
                <w:sz w:val="18"/>
                <w:szCs w:val="18"/>
              </w:rPr>
              <w:t>,</w:t>
            </w:r>
            <w:r>
              <w:rPr>
                <w:rFonts w:hint="eastAsia" w:ascii="Arial Narrow" w:hAnsi="Arial Narrow" w:cs="Arial Narrow" w:eastAsiaTheme="minorEastAsia"/>
                <w:b/>
                <w:bCs/>
                <w:spacing w:val="1"/>
                <w:sz w:val="18"/>
                <w:szCs w:val="18"/>
                <w:lang w:val="en-US" w:eastAsia="zh-CN"/>
              </w:rPr>
              <w:t>5</w:t>
            </w:r>
            <w:r>
              <w:rPr>
                <w:rFonts w:ascii="Arial Narrow" w:hAnsi="Arial Narrow" w:cs="Arial Narrow" w:eastAsiaTheme="minorEastAsia"/>
                <w:b/>
                <w:bCs/>
                <w:spacing w:val="1"/>
                <w:sz w:val="18"/>
                <w:szCs w:val="18"/>
              </w:rPr>
              <w:t>00.00</w:t>
            </w:r>
          </w:p>
        </w:tc>
      </w:tr>
    </w:tbl>
    <w:p w14:paraId="7B1140EB">
      <w:pPr>
        <w:pStyle w:val="5"/>
        <w:pageBreakBefore w:val="0"/>
        <w:wordWrap/>
        <w:overflowPunct/>
        <w:topLinePunct w:val="0"/>
        <w:bidi w:val="0"/>
        <w:spacing w:beforeLines="50" w:line="600" w:lineRule="exact"/>
        <w:ind w:firstLine="600"/>
        <w:textAlignment w:val="baseline"/>
        <w:rPr>
          <w:rFonts w:ascii="宋体" w:hAnsi="宋体"/>
        </w:rPr>
      </w:pPr>
      <w:r>
        <w:rPr>
          <w:rFonts w:hint="eastAsia" w:ascii="宋体" w:hAnsi="宋体"/>
        </w:rPr>
        <w:t>（3）资金使用</w:t>
      </w:r>
    </w:p>
    <w:p w14:paraId="57EEA287">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zCs w:val="30"/>
        </w:rPr>
      </w:pPr>
      <w:r>
        <w:rPr>
          <w:rFonts w:hint="eastAsia" w:ascii="宋体" w:hAnsi="宋体" w:cs="仿宋_GB2312"/>
          <w:spacing w:val="-8"/>
          <w:szCs w:val="30"/>
        </w:rPr>
        <w:t>截至202</w:t>
      </w:r>
      <w:r>
        <w:rPr>
          <w:rFonts w:hint="eastAsia" w:ascii="宋体" w:hAnsi="宋体" w:cs="仿宋_GB2312"/>
          <w:spacing w:val="-8"/>
          <w:szCs w:val="30"/>
          <w:lang w:val="en-US" w:eastAsia="zh-CN"/>
        </w:rPr>
        <w:t>4</w:t>
      </w:r>
      <w:r>
        <w:rPr>
          <w:rFonts w:hint="eastAsia" w:ascii="宋体" w:hAnsi="宋体" w:cs="仿宋_GB2312"/>
          <w:spacing w:val="-8"/>
          <w:szCs w:val="30"/>
        </w:rPr>
        <w:t>年末，本项目资本金支出共计</w:t>
      </w:r>
      <w:r>
        <w:rPr>
          <w:rFonts w:hint="eastAsia" w:ascii="宋体" w:hAnsi="宋体" w:cs="仿宋_GB2312"/>
          <w:color w:val="333333"/>
          <w:spacing w:val="6"/>
          <w:szCs w:val="30"/>
          <w:shd w:val="clear" w:color="auto" w:fill="FFFFFF"/>
        </w:rPr>
        <w:t>17,091.89万</w:t>
      </w:r>
      <w:r>
        <w:rPr>
          <w:rFonts w:hint="eastAsia" w:ascii="宋体" w:hAnsi="宋体" w:cs="仿宋_GB2312"/>
          <w:spacing w:val="-8"/>
          <w:szCs w:val="30"/>
        </w:rPr>
        <w:t>元，其中财政预算资金</w:t>
      </w:r>
      <w:r>
        <w:rPr>
          <w:rFonts w:hint="eastAsia" w:ascii="宋体" w:hAnsi="宋体" w:cs="仿宋_GB2312"/>
          <w:color w:val="333333"/>
          <w:spacing w:val="6"/>
          <w:szCs w:val="30"/>
          <w:shd w:val="clear" w:color="auto" w:fill="FFFFFF"/>
        </w:rPr>
        <w:t>591.89</w:t>
      </w:r>
      <w:r>
        <w:rPr>
          <w:rFonts w:hint="eastAsia" w:ascii="宋体" w:hAnsi="宋体" w:cs="仿宋_GB2312"/>
          <w:spacing w:val="-8"/>
          <w:szCs w:val="30"/>
        </w:rPr>
        <w:t>万元，专项债券资金</w:t>
      </w:r>
      <w:r>
        <w:rPr>
          <w:rFonts w:hint="eastAsia" w:ascii="宋体" w:hAnsi="宋体" w:cs="仿宋_GB2312"/>
          <w:color w:val="333333"/>
          <w:spacing w:val="6"/>
          <w:szCs w:val="30"/>
          <w:shd w:val="clear" w:color="auto" w:fill="FFFFFF"/>
          <w:lang w:val="en-US" w:eastAsia="zh-CN"/>
        </w:rPr>
        <w:t>16</w:t>
      </w:r>
      <w:r>
        <w:rPr>
          <w:rFonts w:hint="eastAsia" w:ascii="宋体" w:hAnsi="宋体" w:cs="仿宋_GB2312"/>
          <w:color w:val="333333"/>
          <w:spacing w:val="6"/>
          <w:szCs w:val="30"/>
          <w:shd w:val="clear" w:color="auto" w:fill="FFFFFF"/>
        </w:rPr>
        <w:t>,</w:t>
      </w:r>
      <w:r>
        <w:rPr>
          <w:rFonts w:hint="eastAsia" w:ascii="宋体" w:hAnsi="宋体" w:cs="仿宋_GB2312"/>
          <w:color w:val="333333"/>
          <w:spacing w:val="6"/>
          <w:szCs w:val="30"/>
          <w:shd w:val="clear" w:color="auto" w:fill="FFFFFF"/>
          <w:lang w:val="en-US" w:eastAsia="zh-CN"/>
        </w:rPr>
        <w:t>5</w:t>
      </w:r>
      <w:r>
        <w:rPr>
          <w:rFonts w:hint="eastAsia" w:ascii="宋体" w:hAnsi="宋体" w:cs="仿宋_GB2312"/>
          <w:color w:val="333333"/>
          <w:spacing w:val="6"/>
          <w:szCs w:val="30"/>
          <w:shd w:val="clear" w:color="auto" w:fill="FFFFFF"/>
        </w:rPr>
        <w:t>00.00</w:t>
      </w:r>
      <w:r>
        <w:rPr>
          <w:rFonts w:hint="eastAsia" w:ascii="宋体" w:hAnsi="宋体" w:cs="仿宋_GB2312"/>
          <w:spacing w:val="-8"/>
          <w:szCs w:val="30"/>
        </w:rPr>
        <w:t>万元。专项</w:t>
      </w:r>
      <w:r>
        <w:rPr>
          <w:rFonts w:hint="eastAsia" w:ascii="宋体" w:hAnsi="宋体" w:cs="仿宋_GB2312"/>
          <w:spacing w:val="-4"/>
          <w:szCs w:val="30"/>
        </w:rPr>
        <w:t>债券资金使用金额</w:t>
      </w:r>
      <w:r>
        <w:rPr>
          <w:rFonts w:hint="eastAsia" w:ascii="宋体" w:hAnsi="宋体" w:cs="仿宋_GB2312"/>
          <w:color w:val="333333"/>
          <w:spacing w:val="6"/>
          <w:szCs w:val="30"/>
          <w:shd w:val="clear" w:color="auto" w:fill="FFFFFF"/>
          <w:lang w:val="en-US" w:eastAsia="zh-CN"/>
        </w:rPr>
        <w:t>16</w:t>
      </w:r>
      <w:r>
        <w:rPr>
          <w:rFonts w:hint="eastAsia" w:ascii="宋体" w:hAnsi="宋体" w:cs="仿宋_GB2312"/>
          <w:color w:val="333333"/>
          <w:spacing w:val="6"/>
          <w:szCs w:val="30"/>
          <w:shd w:val="clear" w:color="auto" w:fill="FFFFFF"/>
        </w:rPr>
        <w:t>,</w:t>
      </w:r>
      <w:r>
        <w:rPr>
          <w:rFonts w:hint="eastAsia" w:ascii="宋体" w:hAnsi="宋体" w:cs="仿宋_GB2312"/>
          <w:color w:val="333333"/>
          <w:spacing w:val="6"/>
          <w:szCs w:val="30"/>
          <w:shd w:val="clear" w:color="auto" w:fill="FFFFFF"/>
          <w:lang w:val="en-US" w:eastAsia="zh-CN"/>
        </w:rPr>
        <w:t>5</w:t>
      </w:r>
      <w:r>
        <w:rPr>
          <w:rFonts w:hint="eastAsia" w:ascii="宋体" w:hAnsi="宋体" w:cs="仿宋_GB2312"/>
          <w:color w:val="333333"/>
          <w:spacing w:val="6"/>
          <w:szCs w:val="30"/>
          <w:shd w:val="clear" w:color="auto" w:fill="FFFFFF"/>
        </w:rPr>
        <w:t>00.00</w:t>
      </w:r>
      <w:r>
        <w:rPr>
          <w:rFonts w:hint="eastAsia" w:ascii="宋体" w:hAnsi="宋体" w:cs="仿宋_GB2312"/>
          <w:spacing w:val="-4"/>
          <w:szCs w:val="30"/>
        </w:rPr>
        <w:t>万元，主要用于</w:t>
      </w:r>
      <w:r>
        <w:rPr>
          <w:rFonts w:hint="eastAsia" w:ascii="宋体" w:hAnsi="宋体" w:cs="仿宋_GB2312"/>
          <w:spacing w:val="10"/>
          <w:szCs w:val="30"/>
        </w:rPr>
        <w:t>工程建设施工</w:t>
      </w:r>
      <w:r>
        <w:rPr>
          <w:rFonts w:hint="eastAsia" w:ascii="宋体" w:hAnsi="宋体" w:cs="仿宋_GB2312"/>
          <w:spacing w:val="10"/>
          <w:szCs w:val="30"/>
          <w:lang w:eastAsia="zh-CN"/>
        </w:rPr>
        <w:t>、</w:t>
      </w:r>
      <w:r>
        <w:rPr>
          <w:rFonts w:hint="eastAsia" w:ascii="宋体" w:hAnsi="宋体" w:cs="仿宋_GB2312"/>
          <w:spacing w:val="10"/>
          <w:szCs w:val="30"/>
          <w:lang w:val="en-US" w:eastAsia="zh-CN"/>
        </w:rPr>
        <w:t>设备采购等</w:t>
      </w:r>
      <w:r>
        <w:rPr>
          <w:rFonts w:hint="eastAsia" w:ascii="宋体" w:hAnsi="宋体" w:cs="仿宋_GB2312"/>
          <w:spacing w:val="5"/>
          <w:szCs w:val="30"/>
        </w:rPr>
        <w:t>，专项债券资金使用率100.00%。</w:t>
      </w:r>
    </w:p>
    <w:p w14:paraId="2D3DF6F8">
      <w:pPr>
        <w:pStyle w:val="3"/>
        <w:pageBreakBefore w:val="0"/>
        <w:kinsoku w:val="0"/>
        <w:wordWrap/>
        <w:overflowPunct/>
        <w:topLinePunct w:val="0"/>
        <w:autoSpaceDE w:val="0"/>
        <w:autoSpaceDN w:val="0"/>
        <w:bidi w:val="0"/>
        <w:adjustRightInd w:val="0"/>
        <w:snapToGrid w:val="0"/>
        <w:spacing w:line="600" w:lineRule="exact"/>
        <w:ind w:firstLine="602"/>
        <w:textAlignment w:val="baseline"/>
        <w:rPr>
          <w:rFonts w:ascii="宋体" w:hAnsi="宋体"/>
        </w:rPr>
      </w:pPr>
      <w:bookmarkStart w:id="21" w:name="_bookmark3"/>
      <w:bookmarkEnd w:id="21"/>
      <w:bookmarkStart w:id="22" w:name="_Toc454"/>
      <w:r>
        <w:rPr>
          <w:rFonts w:hint="eastAsia" w:ascii="宋体" w:hAnsi="宋体"/>
        </w:rPr>
        <w:t>（二）项目绩效目标</w:t>
      </w:r>
      <w:bookmarkEnd w:id="22"/>
    </w:p>
    <w:p w14:paraId="2407C304">
      <w:pPr>
        <w:pStyle w:val="4"/>
        <w:pageBreakBefore w:val="0"/>
        <w:kinsoku w:val="0"/>
        <w:wordWrap/>
        <w:overflowPunct/>
        <w:topLinePunct w:val="0"/>
        <w:autoSpaceDE w:val="0"/>
        <w:autoSpaceDN w:val="0"/>
        <w:bidi w:val="0"/>
        <w:adjustRightInd w:val="0"/>
        <w:snapToGrid w:val="0"/>
        <w:spacing w:line="600" w:lineRule="exact"/>
        <w:ind w:firstLine="600"/>
        <w:textAlignment w:val="baseline"/>
        <w:rPr>
          <w:rFonts w:ascii="宋体" w:hAnsi="宋体"/>
        </w:rPr>
      </w:pPr>
      <w:bookmarkStart w:id="23" w:name="_Toc24290"/>
      <w:bookmarkStart w:id="24" w:name="_Toc32626"/>
      <w:bookmarkStart w:id="25" w:name="_Toc2987"/>
      <w:r>
        <w:rPr>
          <w:rFonts w:hint="eastAsia" w:ascii="宋体" w:hAnsi="宋体"/>
        </w:rPr>
        <w:t>1.总体目标</w:t>
      </w:r>
      <w:bookmarkEnd w:id="23"/>
      <w:bookmarkEnd w:id="24"/>
      <w:bookmarkEnd w:id="25"/>
    </w:p>
    <w:p w14:paraId="41636C32">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hint="eastAsia" w:ascii="宋体" w:hAnsi="宋体" w:cs="仿宋_GB2312"/>
          <w:spacing w:val="-8"/>
          <w:szCs w:val="30"/>
        </w:rPr>
      </w:pPr>
      <w:r>
        <w:rPr>
          <w:rFonts w:hint="eastAsia" w:ascii="宋体" w:hAnsi="宋体" w:cs="仿宋_GB2312"/>
          <w:spacing w:val="-8"/>
          <w:szCs w:val="30"/>
        </w:rPr>
        <w:t>本项目总体目标是完成全部工程建设，完成全部投资计划。本项目的建设可提升医疗条件，增强居民诊疗能力，按照卫生健康建设的要求，加强基础服务设施建设。</w:t>
      </w:r>
      <w:bookmarkStart w:id="26" w:name="_Toc18369"/>
      <w:bookmarkStart w:id="27" w:name="_Toc27422"/>
      <w:bookmarkStart w:id="28" w:name="_Toc17187"/>
    </w:p>
    <w:p w14:paraId="1DAD0319">
      <w:pPr>
        <w:pageBreakBefore w:val="0"/>
        <w:widowControl w:val="0"/>
        <w:numPr>
          <w:ilvl w:val="0"/>
          <w:numId w:val="0"/>
        </w:numPr>
        <w:kinsoku w:val="0"/>
        <w:wordWrap/>
        <w:overflowPunct/>
        <w:topLinePunct w:val="0"/>
        <w:autoSpaceDE w:val="0"/>
        <w:autoSpaceDN w:val="0"/>
        <w:bidi w:val="0"/>
        <w:adjustRightInd w:val="0"/>
        <w:snapToGrid w:val="0"/>
        <w:spacing w:line="600" w:lineRule="exact"/>
        <w:ind w:firstLine="600" w:firstLineChars="200"/>
        <w:textAlignment w:val="baseline"/>
        <w:rPr>
          <w:rFonts w:hint="eastAsia" w:ascii="宋体" w:hAnsi="宋体"/>
          <w:highlight w:val="none"/>
        </w:rPr>
      </w:pPr>
      <w:r>
        <w:rPr>
          <w:rFonts w:hint="eastAsia" w:ascii="宋体" w:hAnsi="宋体"/>
          <w:highlight w:val="none"/>
          <w:lang w:val="en-US" w:eastAsia="zh-CN"/>
        </w:rPr>
        <w:t>2.</w:t>
      </w:r>
      <w:r>
        <w:rPr>
          <w:rFonts w:hint="eastAsia" w:ascii="宋体" w:hAnsi="宋体"/>
          <w:highlight w:val="none"/>
        </w:rPr>
        <w:t>年度目标</w:t>
      </w:r>
      <w:bookmarkEnd w:id="26"/>
      <w:bookmarkEnd w:id="27"/>
      <w:bookmarkEnd w:id="28"/>
      <w:bookmarkStart w:id="29" w:name="_bookmark5"/>
      <w:bookmarkEnd w:id="29"/>
      <w:bookmarkStart w:id="30" w:name="_bookmark4"/>
      <w:bookmarkEnd w:id="30"/>
      <w:bookmarkStart w:id="31" w:name="_Toc15155"/>
      <w:bookmarkStart w:id="32" w:name="_Toc1385"/>
      <w:bookmarkStart w:id="33" w:name="_Toc24372"/>
    </w:p>
    <w:p w14:paraId="378D58BE">
      <w:pPr>
        <w:pageBreakBefore w:val="0"/>
        <w:widowControl w:val="0"/>
        <w:numPr>
          <w:ilvl w:val="0"/>
          <w:numId w:val="0"/>
        </w:numPr>
        <w:kinsoku w:val="0"/>
        <w:wordWrap/>
        <w:overflowPunct/>
        <w:topLinePunct w:val="0"/>
        <w:autoSpaceDE w:val="0"/>
        <w:autoSpaceDN w:val="0"/>
        <w:bidi w:val="0"/>
        <w:adjustRightInd w:val="0"/>
        <w:snapToGrid w:val="0"/>
        <w:spacing w:line="600" w:lineRule="exact"/>
        <w:ind w:firstLine="568" w:firstLineChars="200"/>
        <w:textAlignment w:val="baseline"/>
        <w:rPr>
          <w:rFonts w:hint="eastAsia" w:ascii="宋体" w:hAnsi="宋体" w:eastAsia="仿宋_GB2312" w:cs="仿宋_GB2312"/>
          <w:b w:val="0"/>
          <w:spacing w:val="-8"/>
          <w:kern w:val="0"/>
          <w:szCs w:val="30"/>
          <w:highlight w:val="none"/>
        </w:rPr>
      </w:pPr>
      <w:r>
        <w:rPr>
          <w:rFonts w:hint="eastAsia" w:ascii="宋体" w:hAnsi="宋体" w:eastAsia="仿宋_GB2312" w:cs="仿宋_GB2312"/>
          <w:b w:val="0"/>
          <w:spacing w:val="-8"/>
          <w:kern w:val="0"/>
          <w:szCs w:val="30"/>
          <w:highlight w:val="none"/>
        </w:rPr>
        <w:t>目标1：投资规模达到项目总投资额的</w:t>
      </w:r>
      <w:r>
        <w:rPr>
          <w:rFonts w:hint="eastAsia" w:ascii="宋体" w:hAnsi="宋体" w:cs="仿宋_GB2312"/>
          <w:b w:val="0"/>
          <w:spacing w:val="-8"/>
          <w:kern w:val="0"/>
          <w:szCs w:val="30"/>
          <w:highlight w:val="none"/>
          <w:lang w:val="en-US" w:eastAsia="zh-CN"/>
        </w:rPr>
        <w:t>75</w:t>
      </w:r>
      <w:r>
        <w:rPr>
          <w:rFonts w:hint="eastAsia" w:ascii="宋体" w:hAnsi="宋体" w:eastAsia="仿宋_GB2312" w:cs="仿宋_GB2312"/>
          <w:b w:val="0"/>
          <w:spacing w:val="-8"/>
          <w:kern w:val="0"/>
          <w:szCs w:val="30"/>
          <w:highlight w:val="none"/>
        </w:rPr>
        <w:t>%。</w:t>
      </w:r>
      <w:bookmarkEnd w:id="31"/>
      <w:bookmarkEnd w:id="32"/>
      <w:bookmarkEnd w:id="33"/>
      <w:bookmarkStart w:id="34" w:name="_Toc15814"/>
      <w:bookmarkStart w:id="35" w:name="_Toc8674"/>
      <w:bookmarkStart w:id="36" w:name="_Toc14084"/>
    </w:p>
    <w:p w14:paraId="5F7604D8">
      <w:pPr>
        <w:pageBreakBefore w:val="0"/>
        <w:widowControl w:val="0"/>
        <w:numPr>
          <w:ilvl w:val="0"/>
          <w:numId w:val="0"/>
        </w:numPr>
        <w:kinsoku w:val="0"/>
        <w:wordWrap/>
        <w:overflowPunct/>
        <w:topLinePunct w:val="0"/>
        <w:autoSpaceDE w:val="0"/>
        <w:autoSpaceDN w:val="0"/>
        <w:bidi w:val="0"/>
        <w:adjustRightInd w:val="0"/>
        <w:snapToGrid w:val="0"/>
        <w:spacing w:line="600" w:lineRule="exact"/>
        <w:ind w:firstLine="568" w:firstLineChars="200"/>
        <w:textAlignment w:val="baseline"/>
        <w:rPr>
          <w:rFonts w:ascii="宋体" w:hAnsi="宋体" w:eastAsia="仿宋_GB2312" w:cs="仿宋_GB2312"/>
          <w:b w:val="0"/>
          <w:spacing w:val="-8"/>
          <w:kern w:val="0"/>
          <w:szCs w:val="30"/>
          <w:highlight w:val="none"/>
        </w:rPr>
      </w:pPr>
      <w:r>
        <w:rPr>
          <w:rFonts w:hint="eastAsia" w:ascii="宋体" w:hAnsi="宋体" w:eastAsia="仿宋_GB2312" w:cs="仿宋_GB2312"/>
          <w:b w:val="0"/>
          <w:spacing w:val="-8"/>
          <w:kern w:val="0"/>
          <w:szCs w:val="30"/>
          <w:highlight w:val="none"/>
        </w:rPr>
        <w:t>目标2：完成项目工程项目建设进度目标的</w:t>
      </w:r>
      <w:r>
        <w:rPr>
          <w:rFonts w:hint="eastAsia" w:ascii="宋体" w:hAnsi="宋体" w:cs="仿宋_GB2312"/>
          <w:b w:val="0"/>
          <w:spacing w:val="-8"/>
          <w:kern w:val="0"/>
          <w:szCs w:val="30"/>
          <w:highlight w:val="none"/>
          <w:lang w:val="en-US" w:eastAsia="zh-CN"/>
        </w:rPr>
        <w:t>90</w:t>
      </w:r>
      <w:r>
        <w:rPr>
          <w:rFonts w:hint="eastAsia" w:ascii="宋体" w:hAnsi="宋体" w:eastAsia="仿宋_GB2312" w:cs="仿宋_GB2312"/>
          <w:b w:val="0"/>
          <w:spacing w:val="-8"/>
          <w:kern w:val="0"/>
          <w:szCs w:val="30"/>
          <w:highlight w:val="none"/>
        </w:rPr>
        <w:t>%。</w:t>
      </w:r>
      <w:bookmarkEnd w:id="34"/>
      <w:bookmarkEnd w:id="35"/>
      <w:bookmarkEnd w:id="36"/>
    </w:p>
    <w:p w14:paraId="291571D4">
      <w:pPr>
        <w:pStyle w:val="2"/>
        <w:pageBreakBefore w:val="0"/>
        <w:kinsoku w:val="0"/>
        <w:wordWrap/>
        <w:overflowPunct/>
        <w:topLinePunct w:val="0"/>
        <w:autoSpaceDE w:val="0"/>
        <w:autoSpaceDN w:val="0"/>
        <w:bidi w:val="0"/>
        <w:adjustRightInd w:val="0"/>
        <w:snapToGrid w:val="0"/>
        <w:spacing w:line="600" w:lineRule="exact"/>
        <w:ind w:firstLine="602"/>
        <w:textAlignment w:val="baseline"/>
        <w:rPr>
          <w:rFonts w:ascii="宋体" w:hAnsi="宋体"/>
        </w:rPr>
      </w:pPr>
      <w:bookmarkStart w:id="37" w:name="_Toc23344"/>
      <w:r>
        <w:rPr>
          <w:rFonts w:hint="eastAsia" w:ascii="宋体" w:hAnsi="宋体"/>
        </w:rPr>
        <w:t>二、绩效评价工作开展情况</w:t>
      </w:r>
      <w:bookmarkEnd w:id="37"/>
    </w:p>
    <w:p w14:paraId="1D1AD729">
      <w:pPr>
        <w:pStyle w:val="3"/>
        <w:pageBreakBefore w:val="0"/>
        <w:kinsoku w:val="0"/>
        <w:wordWrap/>
        <w:overflowPunct/>
        <w:topLinePunct w:val="0"/>
        <w:autoSpaceDE w:val="0"/>
        <w:autoSpaceDN w:val="0"/>
        <w:bidi w:val="0"/>
        <w:adjustRightInd w:val="0"/>
        <w:snapToGrid w:val="0"/>
        <w:spacing w:line="600" w:lineRule="exact"/>
        <w:ind w:firstLine="602"/>
        <w:textAlignment w:val="baseline"/>
        <w:rPr>
          <w:rFonts w:ascii="宋体" w:hAnsi="宋体"/>
        </w:rPr>
      </w:pPr>
      <w:bookmarkStart w:id="38" w:name="_Toc9027"/>
      <w:r>
        <w:rPr>
          <w:rFonts w:hint="eastAsia" w:ascii="宋体" w:hAnsi="宋体"/>
        </w:rPr>
        <w:t>（一）绩效评价目的、对象和范围</w:t>
      </w:r>
      <w:bookmarkEnd w:id="38"/>
    </w:p>
    <w:p w14:paraId="175E2459">
      <w:pPr>
        <w:pStyle w:val="4"/>
        <w:pageBreakBefore w:val="0"/>
        <w:kinsoku w:val="0"/>
        <w:wordWrap/>
        <w:overflowPunct/>
        <w:topLinePunct w:val="0"/>
        <w:autoSpaceDE w:val="0"/>
        <w:autoSpaceDN w:val="0"/>
        <w:bidi w:val="0"/>
        <w:adjustRightInd w:val="0"/>
        <w:snapToGrid w:val="0"/>
        <w:spacing w:line="600" w:lineRule="exact"/>
        <w:ind w:firstLine="600"/>
        <w:textAlignment w:val="baseline"/>
        <w:rPr>
          <w:rFonts w:ascii="宋体" w:hAnsi="宋体"/>
        </w:rPr>
      </w:pPr>
      <w:bookmarkStart w:id="39" w:name="_Toc18179"/>
      <w:bookmarkStart w:id="40" w:name="_Toc20708"/>
      <w:bookmarkStart w:id="41" w:name="_Toc7076"/>
      <w:r>
        <w:rPr>
          <w:rFonts w:hint="eastAsia" w:ascii="宋体" w:hAnsi="宋体"/>
        </w:rPr>
        <w:t>1.评价目的</w:t>
      </w:r>
      <w:bookmarkEnd w:id="39"/>
      <w:bookmarkEnd w:id="40"/>
      <w:bookmarkEnd w:id="41"/>
    </w:p>
    <w:p w14:paraId="1011E297">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1）通过对长春市宽城区卫生综合体建设项目的绩效评价，了解和掌握项目实施的具体情况，评价其项目资金安排的科学性、合理性、规范性和资金使用成效，及时总结项目管理经验，完善项目管理办法，提高项目管理水平和资金的使用效益。</w:t>
      </w:r>
    </w:p>
    <w:p w14:paraId="2E8115BF">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（2）促使项目承担单位根据绩效评价中发现的问题，认真加以整改，及时调整和完善单位的工作计划和绩效目标并加强项目管理，提高管理水平，同时为项目后续资金投入、分配和管理提供决策依据。</w:t>
      </w:r>
    </w:p>
    <w:p w14:paraId="4894F243">
      <w:pPr>
        <w:pStyle w:val="4"/>
        <w:pageBreakBefore w:val="0"/>
        <w:kinsoku w:val="0"/>
        <w:wordWrap/>
        <w:overflowPunct/>
        <w:topLinePunct w:val="0"/>
        <w:autoSpaceDE w:val="0"/>
        <w:autoSpaceDN w:val="0"/>
        <w:bidi w:val="0"/>
        <w:adjustRightInd w:val="0"/>
        <w:snapToGrid w:val="0"/>
        <w:spacing w:line="600" w:lineRule="exact"/>
        <w:ind w:firstLine="600"/>
        <w:textAlignment w:val="baseline"/>
        <w:rPr>
          <w:rFonts w:ascii="宋体" w:hAnsi="宋体"/>
        </w:rPr>
      </w:pPr>
      <w:bookmarkStart w:id="42" w:name="_Toc4360"/>
      <w:bookmarkStart w:id="43" w:name="_Toc29899"/>
      <w:bookmarkStart w:id="44" w:name="_Toc23340"/>
      <w:r>
        <w:rPr>
          <w:rFonts w:hint="eastAsia" w:ascii="宋体" w:hAnsi="宋体"/>
        </w:rPr>
        <w:t>2.评价对象</w:t>
      </w:r>
      <w:bookmarkEnd w:id="42"/>
      <w:bookmarkEnd w:id="43"/>
      <w:bookmarkEnd w:id="44"/>
    </w:p>
    <w:p w14:paraId="45E20177">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本次绩效评价对象为长春市宽城区卫生综合体建设项目。</w:t>
      </w:r>
    </w:p>
    <w:p w14:paraId="0CEB5171">
      <w:pPr>
        <w:pStyle w:val="4"/>
        <w:pageBreakBefore w:val="0"/>
        <w:kinsoku w:val="0"/>
        <w:wordWrap/>
        <w:overflowPunct/>
        <w:topLinePunct w:val="0"/>
        <w:autoSpaceDE w:val="0"/>
        <w:autoSpaceDN w:val="0"/>
        <w:bidi w:val="0"/>
        <w:adjustRightInd w:val="0"/>
        <w:snapToGrid w:val="0"/>
        <w:spacing w:line="600" w:lineRule="exact"/>
        <w:ind w:firstLine="600"/>
        <w:textAlignment w:val="baseline"/>
        <w:rPr>
          <w:rFonts w:ascii="宋体" w:hAnsi="宋体"/>
        </w:rPr>
      </w:pPr>
      <w:bookmarkStart w:id="45" w:name="_Toc10968"/>
      <w:bookmarkStart w:id="46" w:name="_Toc8645"/>
      <w:bookmarkStart w:id="47" w:name="_Toc22423"/>
      <w:r>
        <w:rPr>
          <w:rFonts w:hint="eastAsia" w:ascii="宋体" w:hAnsi="宋体"/>
        </w:rPr>
        <w:t>3.评价范围</w:t>
      </w:r>
      <w:bookmarkEnd w:id="45"/>
      <w:bookmarkEnd w:id="46"/>
      <w:bookmarkEnd w:id="47"/>
    </w:p>
    <w:p w14:paraId="1C9384E7">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本次绩效评价将主要对长春市宽城区卫生综合体建设项目进行评价，涉及地区为长春宽城经济开发区。涉及具体项目1个，涉及的相关单位有：长春宽城经济开发区管理委员会、长春市宽城区中医院等多个部门。</w:t>
      </w:r>
    </w:p>
    <w:p w14:paraId="44175812">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本次项目绩效评价主要围绕项目决策、资金管理、项目产出和效益等多个角度考察项目目标实现情况、预算执行情况和项目整体效果。重点评价专项债券资金的拨付、发放及使用环节。</w:t>
      </w:r>
    </w:p>
    <w:p w14:paraId="7BD58197">
      <w:pPr>
        <w:pStyle w:val="3"/>
        <w:pageBreakBefore w:val="0"/>
        <w:numPr>
          <w:ilvl w:val="0"/>
          <w:numId w:val="1"/>
        </w:numPr>
        <w:wordWrap/>
        <w:overflowPunct/>
        <w:topLinePunct w:val="0"/>
        <w:bidi w:val="0"/>
        <w:spacing w:line="600" w:lineRule="exact"/>
        <w:ind w:firstLine="602"/>
        <w:textAlignment w:val="baseline"/>
        <w:rPr>
          <w:rFonts w:ascii="宋体" w:hAnsi="宋体"/>
        </w:rPr>
      </w:pPr>
      <w:bookmarkStart w:id="48" w:name="_bookmark6"/>
      <w:bookmarkEnd w:id="48"/>
      <w:bookmarkStart w:id="49" w:name="_Toc2244"/>
      <w:r>
        <w:rPr>
          <w:rFonts w:hint="eastAsia" w:ascii="宋体" w:hAnsi="宋体"/>
        </w:rPr>
        <w:t>绩效评价依据</w:t>
      </w:r>
      <w:bookmarkEnd w:id="49"/>
    </w:p>
    <w:p w14:paraId="4BAF1C77">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（1）《项目支出绩效评价管理办法》（财预【2020】10号）；</w:t>
      </w:r>
    </w:p>
    <w:p w14:paraId="54573C3B">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（2）《吉林省项目支出绩效评价管理暂行办法》（吉财绩【2020】711号）；</w:t>
      </w:r>
    </w:p>
    <w:p w14:paraId="1D9DABA1">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（3）《地方政府专项债券项目资金绩效管理办法》（财预【2021】61号）；</w:t>
      </w:r>
    </w:p>
    <w:p w14:paraId="627C4A3B">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（4）《吉林省地方政府专项债券项目绩效评价管理办法（试行）》（吉财债【2021】1044）；</w:t>
      </w:r>
    </w:p>
    <w:p w14:paraId="28906445">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（5）《吉林省项目支出预算绩效目标管理办法》（吉财绩【2021】1333号）；</w:t>
      </w:r>
    </w:p>
    <w:p w14:paraId="1DE2C965">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（6）《国家发展改革委关于加强中央预算内投资项目概算调整管理的通知》（发改投资【2009】1550号）；</w:t>
      </w:r>
    </w:p>
    <w:p w14:paraId="1ABAD269">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（7）《关于印发〈基本建设项目建设成本管理规定〉的通知》（财建【2016】504号）；</w:t>
      </w:r>
    </w:p>
    <w:p w14:paraId="09738A5B">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（8）《中共中央国务院关于全面实施预算绩效管理的意见》（2018年9月1日）；</w:t>
      </w:r>
    </w:p>
    <w:p w14:paraId="0720E609">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（9）《关于委托第三方机构参与预算绩效管理的指导意见》（财预【2021】6号）；</w:t>
      </w:r>
    </w:p>
    <w:p w14:paraId="78DEB94C">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（10）《长春市宽城区卫生综合体建设项目》的可行性研究报告及批复、项目收益与融资自求平衡方案等其他资料；</w:t>
      </w:r>
    </w:p>
    <w:p w14:paraId="462CEBE1">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（11）项目实施期的会计凭证、相关记录、现场资料等；</w:t>
      </w:r>
    </w:p>
    <w:p w14:paraId="558584C4">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（12）相关材料的说明及其他项目资料。</w:t>
      </w:r>
    </w:p>
    <w:p w14:paraId="1F78D4D4">
      <w:pPr>
        <w:pStyle w:val="3"/>
        <w:pageBreakBefore w:val="0"/>
        <w:wordWrap/>
        <w:overflowPunct/>
        <w:topLinePunct w:val="0"/>
        <w:bidi w:val="0"/>
        <w:spacing w:line="600" w:lineRule="exact"/>
        <w:ind w:firstLine="602"/>
        <w:textAlignment w:val="baseline"/>
        <w:rPr>
          <w:rFonts w:ascii="宋体" w:hAnsi="宋体"/>
        </w:rPr>
      </w:pPr>
      <w:bookmarkStart w:id="50" w:name="_Toc20128"/>
      <w:r>
        <w:rPr>
          <w:rFonts w:hint="eastAsia" w:ascii="宋体" w:hAnsi="宋体"/>
        </w:rPr>
        <w:t>（三）绩效评价原则</w:t>
      </w:r>
      <w:bookmarkEnd w:id="50"/>
    </w:p>
    <w:p w14:paraId="7B65C013">
      <w:pPr>
        <w:pStyle w:val="4"/>
        <w:pageBreakBefore w:val="0"/>
        <w:wordWrap/>
        <w:overflowPunct/>
        <w:topLinePunct w:val="0"/>
        <w:bidi w:val="0"/>
        <w:spacing w:line="600" w:lineRule="exact"/>
        <w:ind w:firstLine="600"/>
        <w:textAlignment w:val="baseline"/>
        <w:rPr>
          <w:rFonts w:ascii="宋体" w:hAnsi="宋体"/>
        </w:rPr>
      </w:pPr>
      <w:bookmarkStart w:id="51" w:name="_Toc1889"/>
      <w:bookmarkStart w:id="52" w:name="_Toc30992"/>
      <w:bookmarkStart w:id="53" w:name="_Toc19161"/>
      <w:r>
        <w:rPr>
          <w:rFonts w:hint="eastAsia" w:ascii="宋体" w:hAnsi="宋体"/>
        </w:rPr>
        <w:t>1.科学规范</w:t>
      </w:r>
      <w:bookmarkEnd w:id="51"/>
      <w:bookmarkEnd w:id="52"/>
      <w:bookmarkEnd w:id="53"/>
    </w:p>
    <w:p w14:paraId="29F89ABE">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bCs/>
          <w:color w:val="333333"/>
          <w:spacing w:val="6"/>
          <w:sz w:val="30"/>
          <w:szCs w:val="30"/>
          <w:shd w:val="clear" w:color="auto" w:fill="FFFFFF"/>
        </w:rPr>
      </w:pPr>
      <w:r>
        <w:rPr>
          <w:rFonts w:hint="eastAsia" w:ascii="宋体" w:hAnsi="宋体" w:cs="仿宋_GB2312"/>
          <w:bCs/>
          <w:color w:val="333333"/>
          <w:spacing w:val="6"/>
          <w:sz w:val="30"/>
          <w:szCs w:val="30"/>
          <w:shd w:val="clear" w:color="auto" w:fill="FFFFFF"/>
        </w:rPr>
        <w:t>专项债券项目资金绩效实行全生命周期管理。坚持“举债必问效、无效必问责”，遵循项目支出绩效管理的基本要求，注重融资收益平衡与偿债风险。建立规范的工作流程和指标体系，推动绩效管理工作有序开展。</w:t>
      </w:r>
    </w:p>
    <w:p w14:paraId="378809F7">
      <w:pPr>
        <w:pStyle w:val="4"/>
        <w:pageBreakBefore w:val="0"/>
        <w:wordWrap/>
        <w:overflowPunct/>
        <w:topLinePunct w:val="0"/>
        <w:bidi w:val="0"/>
        <w:spacing w:line="600" w:lineRule="exact"/>
        <w:ind w:firstLine="600"/>
        <w:textAlignment w:val="baseline"/>
        <w:rPr>
          <w:rFonts w:ascii="宋体" w:hAnsi="宋体"/>
        </w:rPr>
      </w:pPr>
      <w:bookmarkStart w:id="54" w:name="_Toc7686"/>
      <w:bookmarkStart w:id="55" w:name="_Toc11558"/>
      <w:bookmarkStart w:id="56" w:name="_Toc17372"/>
      <w:r>
        <w:rPr>
          <w:rFonts w:hint="eastAsia" w:ascii="宋体" w:hAnsi="宋体"/>
        </w:rPr>
        <w:t>2.协同配合</w:t>
      </w:r>
      <w:bookmarkEnd w:id="54"/>
      <w:bookmarkEnd w:id="55"/>
      <w:bookmarkEnd w:id="56"/>
    </w:p>
    <w:p w14:paraId="44DE75C0">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bCs/>
          <w:color w:val="333333"/>
          <w:spacing w:val="6"/>
          <w:sz w:val="30"/>
          <w:szCs w:val="30"/>
          <w:shd w:val="clear" w:color="auto" w:fill="FFFFFF"/>
        </w:rPr>
      </w:pPr>
      <w:r>
        <w:rPr>
          <w:rFonts w:hint="eastAsia" w:ascii="宋体" w:hAnsi="宋体" w:cs="仿宋_GB2312"/>
          <w:bCs/>
          <w:color w:val="333333"/>
          <w:spacing w:val="6"/>
          <w:sz w:val="30"/>
          <w:szCs w:val="30"/>
          <w:shd w:val="clear" w:color="auto" w:fill="FFFFFF"/>
        </w:rPr>
        <w:t>各级财政部门牵头组织专项债券项目资金绩效管理工作，督促指导项目主管部门和项目单位具体实施各项管理工作。上级财政部门加强工作指导和检查。</w:t>
      </w:r>
    </w:p>
    <w:p w14:paraId="0A5C4A12">
      <w:pPr>
        <w:pStyle w:val="4"/>
        <w:pageBreakBefore w:val="0"/>
        <w:wordWrap/>
        <w:overflowPunct/>
        <w:topLinePunct w:val="0"/>
        <w:bidi w:val="0"/>
        <w:spacing w:line="600" w:lineRule="exact"/>
        <w:ind w:firstLine="600"/>
        <w:textAlignment w:val="baseline"/>
        <w:rPr>
          <w:rFonts w:ascii="宋体" w:hAnsi="宋体"/>
        </w:rPr>
      </w:pPr>
      <w:bookmarkStart w:id="57" w:name="_Toc20206"/>
      <w:bookmarkStart w:id="58" w:name="_Toc16482"/>
      <w:bookmarkStart w:id="59" w:name="_Toc28493"/>
      <w:r>
        <w:rPr>
          <w:rFonts w:hint="eastAsia" w:ascii="宋体" w:hAnsi="宋体"/>
        </w:rPr>
        <w:t>3.公开透明</w:t>
      </w:r>
      <w:bookmarkEnd w:id="57"/>
      <w:bookmarkEnd w:id="58"/>
      <w:bookmarkEnd w:id="59"/>
    </w:p>
    <w:p w14:paraId="1AC47762">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bCs/>
          <w:color w:val="333333"/>
          <w:spacing w:val="6"/>
          <w:sz w:val="30"/>
          <w:szCs w:val="30"/>
          <w:shd w:val="clear" w:color="auto" w:fill="FFFFFF"/>
        </w:rPr>
      </w:pPr>
      <w:r>
        <w:rPr>
          <w:rFonts w:hint="eastAsia" w:ascii="宋体" w:hAnsi="宋体" w:cs="仿宋_GB2312"/>
          <w:bCs/>
          <w:color w:val="333333"/>
          <w:spacing w:val="6"/>
          <w:sz w:val="30"/>
          <w:szCs w:val="30"/>
          <w:shd w:val="clear" w:color="auto" w:fill="FFFFFF"/>
        </w:rPr>
        <w:t>绩效信息是专项债券项目信息的重要组成部分，应当依法依规公开，自觉接受社会监督，通过公开推动提高专项资金使用绩效。</w:t>
      </w:r>
    </w:p>
    <w:p w14:paraId="181F0C27">
      <w:pPr>
        <w:pStyle w:val="4"/>
        <w:pageBreakBefore w:val="0"/>
        <w:wordWrap/>
        <w:overflowPunct/>
        <w:topLinePunct w:val="0"/>
        <w:bidi w:val="0"/>
        <w:spacing w:line="600" w:lineRule="exact"/>
        <w:ind w:firstLine="600"/>
        <w:textAlignment w:val="baseline"/>
        <w:rPr>
          <w:rFonts w:ascii="宋体" w:hAnsi="宋体"/>
        </w:rPr>
      </w:pPr>
      <w:bookmarkStart w:id="60" w:name="_Toc21208"/>
      <w:bookmarkStart w:id="61" w:name="_Toc19140"/>
      <w:bookmarkStart w:id="62" w:name="_Toc23338"/>
      <w:r>
        <w:rPr>
          <w:rFonts w:hint="eastAsia" w:ascii="宋体" w:hAnsi="宋体"/>
        </w:rPr>
        <w:t>4.强化运用</w:t>
      </w:r>
      <w:bookmarkEnd w:id="60"/>
      <w:bookmarkEnd w:id="61"/>
      <w:bookmarkEnd w:id="62"/>
    </w:p>
    <w:p w14:paraId="40566BE8">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bCs/>
          <w:color w:val="333333"/>
          <w:spacing w:val="6"/>
          <w:sz w:val="30"/>
          <w:szCs w:val="30"/>
          <w:shd w:val="clear" w:color="auto" w:fill="FFFFFF"/>
        </w:rPr>
      </w:pPr>
      <w:r>
        <w:rPr>
          <w:rFonts w:hint="eastAsia" w:ascii="宋体" w:hAnsi="宋体" w:cs="仿宋_GB2312"/>
          <w:bCs/>
          <w:color w:val="333333"/>
          <w:spacing w:val="6"/>
          <w:sz w:val="30"/>
          <w:szCs w:val="30"/>
          <w:shd w:val="clear" w:color="auto" w:fill="FFFFFF"/>
        </w:rPr>
        <w:t>突出绩效管理结果的激励约束作用，将专项债券项目资金绩效管理结果作为专项债券额度分配的重要测算因素，并与有关管理措施和政策试点等挂钩。</w:t>
      </w:r>
    </w:p>
    <w:p w14:paraId="6BC5D97F">
      <w:pPr>
        <w:pStyle w:val="3"/>
        <w:pageBreakBefore w:val="0"/>
        <w:wordWrap/>
        <w:overflowPunct/>
        <w:topLinePunct w:val="0"/>
        <w:bidi w:val="0"/>
        <w:spacing w:line="600" w:lineRule="exact"/>
        <w:ind w:firstLine="602"/>
        <w:textAlignment w:val="baseline"/>
        <w:rPr>
          <w:rFonts w:ascii="宋体" w:hAnsi="宋体"/>
        </w:rPr>
      </w:pPr>
      <w:bookmarkStart w:id="63" w:name="_Toc9357"/>
      <w:r>
        <w:rPr>
          <w:rFonts w:hint="eastAsia" w:ascii="宋体" w:hAnsi="宋体"/>
        </w:rPr>
        <w:t>（四）评价指标体系、评价方法、评价标准</w:t>
      </w:r>
      <w:bookmarkEnd w:id="63"/>
    </w:p>
    <w:p w14:paraId="4DEAC1D1">
      <w:pPr>
        <w:pStyle w:val="4"/>
        <w:pageBreakBefore w:val="0"/>
        <w:wordWrap/>
        <w:overflowPunct/>
        <w:topLinePunct w:val="0"/>
        <w:bidi w:val="0"/>
        <w:spacing w:line="600" w:lineRule="exact"/>
        <w:ind w:firstLine="600"/>
        <w:textAlignment w:val="baseline"/>
        <w:rPr>
          <w:rFonts w:ascii="宋体" w:hAnsi="宋体"/>
        </w:rPr>
      </w:pPr>
      <w:bookmarkStart w:id="64" w:name="_Toc2465"/>
      <w:bookmarkStart w:id="65" w:name="_Toc30111"/>
      <w:bookmarkStart w:id="66" w:name="_Toc15226"/>
      <w:r>
        <w:rPr>
          <w:rFonts w:hint="eastAsia" w:ascii="宋体" w:hAnsi="宋体"/>
        </w:rPr>
        <w:t>1.评价指标体系</w:t>
      </w:r>
      <w:bookmarkEnd w:id="64"/>
      <w:bookmarkEnd w:id="65"/>
      <w:bookmarkEnd w:id="66"/>
    </w:p>
    <w:p w14:paraId="46AA6328">
      <w:pPr>
        <w:pageBreakBefore w:val="0"/>
        <w:widowControl w:val="0"/>
        <w:wordWrap/>
        <w:overflowPunct/>
        <w:topLinePunct w:val="0"/>
        <w:bidi w:val="0"/>
        <w:spacing w:line="600" w:lineRule="exact"/>
        <w:ind w:firstLine="584"/>
        <w:textAlignment w:val="baseline"/>
        <w:rPr>
          <w:rFonts w:ascii="宋体" w:hAnsi="宋体" w:cs="仿宋_GB2312"/>
          <w:bCs/>
          <w:spacing w:val="-8"/>
          <w:szCs w:val="30"/>
        </w:rPr>
      </w:pPr>
      <w:r>
        <w:rPr>
          <w:rFonts w:hint="eastAsia" w:ascii="宋体" w:hAnsi="宋体" w:cs="仿宋_GB2312"/>
          <w:bCs/>
          <w:spacing w:val="-8"/>
          <w:szCs w:val="30"/>
        </w:rPr>
        <w:t>绩效评价指标体系包括项目决策、项目管理、项目产出、项目效益四类指标，共计100分。</w:t>
      </w:r>
    </w:p>
    <w:p w14:paraId="56276415">
      <w:pPr>
        <w:pageBreakBefore w:val="0"/>
        <w:widowControl w:val="0"/>
        <w:wordWrap/>
        <w:overflowPunct/>
        <w:topLinePunct w:val="0"/>
        <w:bidi w:val="0"/>
        <w:spacing w:line="600" w:lineRule="exact"/>
        <w:ind w:firstLine="584"/>
        <w:textAlignment w:val="baseline"/>
        <w:rPr>
          <w:rFonts w:hint="eastAsia" w:ascii="宋体" w:hAnsi="宋体" w:cs="仿宋_GB2312"/>
          <w:spacing w:val="-8"/>
          <w:szCs w:val="30"/>
        </w:rPr>
      </w:pPr>
      <w:r>
        <w:rPr>
          <w:rFonts w:hint="eastAsia" w:ascii="宋体" w:hAnsi="宋体" w:cs="仿宋_GB2312"/>
          <w:spacing w:val="-8"/>
          <w:szCs w:val="30"/>
        </w:rPr>
        <w:t>具体绩效指标体系如表1所示。</w:t>
      </w:r>
    </w:p>
    <w:tbl>
      <w:tblPr>
        <w:tblStyle w:val="14"/>
        <w:tblW w:w="88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8"/>
        <w:gridCol w:w="2100"/>
        <w:gridCol w:w="5304"/>
      </w:tblGrid>
      <w:tr w14:paraId="737E9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blHeader/>
        </w:trPr>
        <w:tc>
          <w:tcPr>
            <w:tcW w:w="8862" w:type="dxa"/>
            <w:gridSpan w:val="3"/>
            <w:tcBorders>
              <w:top w:val="nil"/>
              <w:left w:val="nil"/>
              <w:bottom w:val="single" w:color="auto" w:sz="4" w:space="0"/>
              <w:right w:val="nil"/>
            </w:tcBorders>
            <w:vAlign w:val="center"/>
          </w:tcPr>
          <w:p w14:paraId="73254F2C">
            <w:pPr>
              <w:widowControl w:val="0"/>
              <w:spacing w:line="240" w:lineRule="exact"/>
              <w:ind w:firstLine="0" w:firstLineChars="0"/>
              <w:jc w:val="center"/>
              <w:rPr>
                <w:rFonts w:ascii="宋体" w:hAnsi="宋体" w:eastAsiaTheme="minorEastAsia" w:cstheme="minorEastAsia"/>
                <w:b/>
                <w:bCs/>
                <w:spacing w:val="-6"/>
                <w:sz w:val="18"/>
                <w:szCs w:val="18"/>
              </w:rPr>
            </w:pPr>
            <w:r>
              <w:rPr>
                <w:rFonts w:hint="eastAsia" w:ascii="宋体" w:hAnsi="宋体" w:eastAsiaTheme="minorEastAsia" w:cstheme="minorEastAsia"/>
                <w:b/>
                <w:bCs/>
                <w:spacing w:val="4"/>
                <w:sz w:val="18"/>
                <w:szCs w:val="18"/>
              </w:rPr>
              <w:t>表</w:t>
            </w:r>
            <w:r>
              <w:rPr>
                <w:rFonts w:hint="eastAsia" w:ascii="宋体" w:hAnsi="宋体" w:eastAsiaTheme="minorEastAsia" w:cstheme="minorEastAsia"/>
                <w:b/>
                <w:bCs/>
                <w:spacing w:val="2"/>
                <w:sz w:val="18"/>
                <w:szCs w:val="18"/>
              </w:rPr>
              <w:t>1－绩效指标体系</w:t>
            </w:r>
          </w:p>
        </w:tc>
      </w:tr>
      <w:tr w14:paraId="203BE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blHeader/>
        </w:trPr>
        <w:tc>
          <w:tcPr>
            <w:tcW w:w="1458" w:type="dxa"/>
            <w:tcBorders>
              <w:top w:val="single" w:color="auto" w:sz="4" w:space="0"/>
              <w:bottom w:val="single" w:color="auto" w:sz="4" w:space="0"/>
            </w:tcBorders>
            <w:vAlign w:val="center"/>
          </w:tcPr>
          <w:p w14:paraId="6007343F">
            <w:pPr>
              <w:widowControl w:val="0"/>
              <w:spacing w:line="240" w:lineRule="exact"/>
              <w:ind w:firstLine="0" w:firstLineChars="0"/>
              <w:jc w:val="center"/>
              <w:rPr>
                <w:rFonts w:ascii="宋体" w:hAnsi="宋体" w:eastAsiaTheme="minorEastAsia" w:cstheme="minorEastAsia"/>
                <w:b/>
                <w:bCs/>
                <w:sz w:val="18"/>
                <w:szCs w:val="18"/>
              </w:rPr>
            </w:pPr>
            <w:r>
              <w:rPr>
                <w:rFonts w:hint="eastAsia" w:ascii="宋体" w:hAnsi="宋体" w:eastAsiaTheme="minorEastAsia" w:cstheme="minorEastAsia"/>
                <w:b/>
                <w:bCs/>
                <w:spacing w:val="-7"/>
                <w:position w:val="2"/>
                <w:sz w:val="18"/>
                <w:szCs w:val="18"/>
              </w:rPr>
              <w:t>一</w:t>
            </w:r>
            <w:r>
              <w:rPr>
                <w:rFonts w:hint="eastAsia" w:ascii="宋体" w:hAnsi="宋体" w:eastAsiaTheme="minorEastAsia" w:cstheme="minorEastAsia"/>
                <w:b/>
                <w:bCs/>
                <w:spacing w:val="-5"/>
                <w:position w:val="2"/>
                <w:sz w:val="18"/>
                <w:szCs w:val="18"/>
              </w:rPr>
              <w:t>级指标</w:t>
            </w:r>
          </w:p>
        </w:tc>
        <w:tc>
          <w:tcPr>
            <w:tcW w:w="2100" w:type="dxa"/>
            <w:tcBorders>
              <w:top w:val="single" w:color="auto" w:sz="4" w:space="0"/>
              <w:bottom w:val="single" w:color="auto" w:sz="4" w:space="0"/>
            </w:tcBorders>
            <w:vAlign w:val="center"/>
          </w:tcPr>
          <w:p w14:paraId="7A98A3AB">
            <w:pPr>
              <w:widowControl w:val="0"/>
              <w:spacing w:line="240" w:lineRule="exact"/>
              <w:ind w:firstLine="0" w:firstLineChars="0"/>
              <w:jc w:val="center"/>
              <w:rPr>
                <w:rFonts w:ascii="宋体" w:hAnsi="宋体" w:eastAsiaTheme="minorEastAsia" w:cstheme="minorEastAsia"/>
                <w:b/>
                <w:bCs/>
                <w:sz w:val="18"/>
                <w:szCs w:val="18"/>
              </w:rPr>
            </w:pPr>
            <w:r>
              <w:rPr>
                <w:rFonts w:hint="eastAsia" w:ascii="宋体" w:hAnsi="宋体" w:eastAsiaTheme="minorEastAsia" w:cstheme="minorEastAsia"/>
                <w:b/>
                <w:bCs/>
                <w:spacing w:val="-5"/>
                <w:sz w:val="18"/>
                <w:szCs w:val="18"/>
              </w:rPr>
              <w:t>二级指标</w:t>
            </w:r>
          </w:p>
        </w:tc>
        <w:tc>
          <w:tcPr>
            <w:tcW w:w="5304" w:type="dxa"/>
            <w:tcBorders>
              <w:top w:val="single" w:color="auto" w:sz="4" w:space="0"/>
            </w:tcBorders>
            <w:vAlign w:val="center"/>
          </w:tcPr>
          <w:p w14:paraId="6FB3C855">
            <w:pPr>
              <w:widowControl w:val="0"/>
              <w:spacing w:line="240" w:lineRule="exact"/>
              <w:ind w:firstLine="0" w:firstLineChars="0"/>
              <w:jc w:val="center"/>
              <w:rPr>
                <w:rFonts w:ascii="宋体" w:hAnsi="宋体" w:eastAsiaTheme="minorEastAsia" w:cstheme="minorEastAsia"/>
                <w:b/>
                <w:bCs/>
                <w:sz w:val="18"/>
                <w:szCs w:val="18"/>
              </w:rPr>
            </w:pPr>
            <w:r>
              <w:rPr>
                <w:rFonts w:hint="eastAsia" w:ascii="宋体" w:hAnsi="宋体" w:eastAsiaTheme="minorEastAsia" w:cstheme="minorEastAsia"/>
                <w:b/>
                <w:bCs/>
                <w:spacing w:val="-6"/>
                <w:sz w:val="18"/>
                <w:szCs w:val="18"/>
              </w:rPr>
              <w:t>三级指标</w:t>
            </w:r>
          </w:p>
        </w:tc>
      </w:tr>
      <w:tr w14:paraId="1BB9B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restart"/>
            <w:tcBorders>
              <w:top w:val="single" w:color="auto" w:sz="4" w:space="0"/>
              <w:left w:val="single" w:color="auto" w:sz="4" w:space="0"/>
            </w:tcBorders>
            <w:vAlign w:val="center"/>
          </w:tcPr>
          <w:p w14:paraId="76D1F000">
            <w:pPr>
              <w:widowControl w:val="0"/>
              <w:spacing w:line="240" w:lineRule="exact"/>
              <w:ind w:firstLine="0" w:firstLineChars="0"/>
              <w:jc w:val="center"/>
              <w:rPr>
                <w:rFonts w:ascii="宋体" w:hAnsi="宋体" w:eastAsiaTheme="minorEastAsia" w:cstheme="minorEastAsia"/>
                <w:b/>
                <w:bCs/>
                <w:sz w:val="18"/>
                <w:szCs w:val="18"/>
              </w:rPr>
            </w:pPr>
            <w:r>
              <w:rPr>
                <w:rFonts w:hint="eastAsia" w:ascii="宋体" w:hAnsi="宋体" w:eastAsiaTheme="minorEastAsia" w:cstheme="minorEastAsia"/>
                <w:b w:val="0"/>
                <w:bCs w:val="0"/>
                <w:spacing w:val="2"/>
                <w:sz w:val="18"/>
                <w:szCs w:val="18"/>
              </w:rPr>
              <w:t>决策</w:t>
            </w:r>
          </w:p>
        </w:tc>
        <w:tc>
          <w:tcPr>
            <w:tcW w:w="2100" w:type="dxa"/>
            <w:vMerge w:val="restart"/>
            <w:tcBorders>
              <w:top w:val="single" w:color="auto" w:sz="4" w:space="0"/>
              <w:bottom w:val="single" w:color="auto" w:sz="4" w:space="0"/>
              <w:right w:val="single" w:color="auto" w:sz="4" w:space="0"/>
            </w:tcBorders>
            <w:vAlign w:val="center"/>
          </w:tcPr>
          <w:p w14:paraId="3D769867">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textAlignment w:val="baseline"/>
              <w:rPr>
                <w:rFonts w:ascii="宋体" w:hAnsi="宋体" w:eastAsiaTheme="minorEastAsia" w:cstheme="minorEastAsia"/>
                <w:sz w:val="18"/>
                <w:szCs w:val="18"/>
              </w:rPr>
            </w:pPr>
            <w:r>
              <w:rPr>
                <w:rFonts w:hint="eastAsia" w:ascii="宋体" w:hAnsi="宋体" w:eastAsiaTheme="minorEastAsia" w:cstheme="minorEastAsia"/>
                <w:spacing w:val="7"/>
                <w:sz w:val="18"/>
                <w:szCs w:val="18"/>
              </w:rPr>
              <w:t>项目立</w:t>
            </w:r>
            <w:r>
              <w:rPr>
                <w:rFonts w:hint="eastAsia" w:ascii="宋体" w:hAnsi="宋体" w:eastAsiaTheme="minorEastAsia" w:cstheme="minorEastAsia"/>
                <w:spacing w:val="6"/>
                <w:sz w:val="18"/>
                <w:szCs w:val="18"/>
              </w:rPr>
              <w:t>项</w:t>
            </w:r>
          </w:p>
        </w:tc>
        <w:tc>
          <w:tcPr>
            <w:tcW w:w="5304" w:type="dxa"/>
            <w:tcBorders>
              <w:left w:val="single" w:color="auto" w:sz="4" w:space="0"/>
            </w:tcBorders>
            <w:vAlign w:val="center"/>
          </w:tcPr>
          <w:p w14:paraId="09971BB3">
            <w:pPr>
              <w:widowControl w:val="0"/>
              <w:spacing w:line="240" w:lineRule="exact"/>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8"/>
                <w:sz w:val="18"/>
                <w:szCs w:val="18"/>
              </w:rPr>
              <w:t>立</w:t>
            </w:r>
            <w:r>
              <w:rPr>
                <w:rFonts w:hint="eastAsia" w:ascii="宋体" w:hAnsi="宋体" w:eastAsiaTheme="minorEastAsia" w:cstheme="minorEastAsia"/>
                <w:spacing w:val="7"/>
                <w:sz w:val="18"/>
                <w:szCs w:val="18"/>
              </w:rPr>
              <w:t>项依据充分性</w:t>
            </w:r>
          </w:p>
        </w:tc>
      </w:tr>
      <w:tr w14:paraId="3D911B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left w:val="single" w:color="auto" w:sz="4" w:space="0"/>
            </w:tcBorders>
            <w:vAlign w:val="center"/>
          </w:tcPr>
          <w:p w14:paraId="4B1C596A">
            <w:pPr>
              <w:widowControl w:val="0"/>
              <w:spacing w:line="240" w:lineRule="exact"/>
              <w:ind w:firstLine="0" w:firstLineChars="0"/>
              <w:jc w:val="center"/>
              <w:rPr>
                <w:rFonts w:ascii="宋体" w:hAnsi="宋体" w:eastAsiaTheme="minorEastAsia" w:cstheme="minorEastAsia"/>
                <w:b/>
                <w:bCs/>
                <w:sz w:val="18"/>
                <w:szCs w:val="18"/>
              </w:rPr>
            </w:pPr>
          </w:p>
        </w:tc>
        <w:tc>
          <w:tcPr>
            <w:tcW w:w="2100" w:type="dxa"/>
            <w:vMerge w:val="continue"/>
            <w:tcBorders>
              <w:top w:val="single" w:color="auto" w:sz="4" w:space="0"/>
              <w:bottom w:val="single" w:color="auto" w:sz="4" w:space="0"/>
              <w:right w:val="single" w:color="auto" w:sz="4" w:space="0"/>
            </w:tcBorders>
            <w:vAlign w:val="center"/>
          </w:tcPr>
          <w:p w14:paraId="45A159A1">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textAlignment w:val="baseline"/>
              <w:rPr>
                <w:rFonts w:ascii="宋体" w:hAnsi="宋体" w:eastAsiaTheme="minorEastAsia" w:cstheme="minorEastAsia"/>
                <w:sz w:val="18"/>
                <w:szCs w:val="18"/>
              </w:rPr>
            </w:pPr>
          </w:p>
        </w:tc>
        <w:tc>
          <w:tcPr>
            <w:tcW w:w="5304" w:type="dxa"/>
            <w:tcBorders>
              <w:left w:val="single" w:color="auto" w:sz="4" w:space="0"/>
            </w:tcBorders>
            <w:vAlign w:val="center"/>
          </w:tcPr>
          <w:p w14:paraId="1251DE4D">
            <w:pPr>
              <w:widowControl w:val="0"/>
              <w:spacing w:line="240" w:lineRule="exact"/>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9"/>
                <w:sz w:val="18"/>
                <w:szCs w:val="18"/>
              </w:rPr>
              <w:t>程</w:t>
            </w:r>
            <w:r>
              <w:rPr>
                <w:rFonts w:hint="eastAsia" w:ascii="宋体" w:hAnsi="宋体" w:eastAsiaTheme="minorEastAsia" w:cstheme="minorEastAsia"/>
                <w:spacing w:val="7"/>
                <w:sz w:val="18"/>
                <w:szCs w:val="18"/>
              </w:rPr>
              <w:t>序规范性</w:t>
            </w:r>
          </w:p>
        </w:tc>
      </w:tr>
      <w:tr w14:paraId="2777A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left w:val="single" w:color="auto" w:sz="4" w:space="0"/>
            </w:tcBorders>
            <w:vAlign w:val="center"/>
          </w:tcPr>
          <w:p w14:paraId="2D9DB6F4">
            <w:pPr>
              <w:widowControl w:val="0"/>
              <w:spacing w:line="240" w:lineRule="exact"/>
              <w:ind w:firstLine="0" w:firstLineChars="0"/>
              <w:jc w:val="center"/>
              <w:rPr>
                <w:rFonts w:ascii="宋体" w:hAnsi="宋体" w:eastAsiaTheme="minorEastAsia" w:cstheme="minorEastAsia"/>
                <w:b/>
                <w:bCs/>
                <w:sz w:val="18"/>
                <w:szCs w:val="18"/>
              </w:rPr>
            </w:pPr>
          </w:p>
        </w:tc>
        <w:tc>
          <w:tcPr>
            <w:tcW w:w="2100" w:type="dxa"/>
            <w:vMerge w:val="restart"/>
            <w:tcBorders>
              <w:top w:val="single" w:color="auto" w:sz="4" w:space="0"/>
              <w:bottom w:val="single" w:color="auto" w:sz="4" w:space="0"/>
            </w:tcBorders>
            <w:vAlign w:val="top"/>
          </w:tcPr>
          <w:p w14:paraId="3A1A51B8">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textAlignment w:val="baseline"/>
              <w:rPr>
                <w:rFonts w:ascii="宋体" w:hAnsi="宋体" w:eastAsiaTheme="minorEastAsia" w:cstheme="minorEastAsia"/>
                <w:sz w:val="18"/>
                <w:szCs w:val="18"/>
              </w:rPr>
            </w:pPr>
          </w:p>
          <w:p w14:paraId="65FAA49D">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textAlignment w:val="baseline"/>
              <w:rPr>
                <w:rFonts w:ascii="宋体" w:hAnsi="宋体" w:eastAsiaTheme="minorEastAsia" w:cstheme="minorEastAsia"/>
                <w:sz w:val="18"/>
                <w:szCs w:val="18"/>
              </w:rPr>
            </w:pPr>
            <w:r>
              <w:rPr>
                <w:rFonts w:hint="eastAsia" w:ascii="宋体" w:hAnsi="宋体" w:eastAsiaTheme="minorEastAsia" w:cstheme="minorEastAsia"/>
                <w:spacing w:val="6"/>
                <w:sz w:val="18"/>
                <w:szCs w:val="18"/>
              </w:rPr>
              <w:t>绩效目</w:t>
            </w:r>
            <w:r>
              <w:rPr>
                <w:rFonts w:hint="eastAsia" w:ascii="宋体" w:hAnsi="宋体" w:eastAsiaTheme="minorEastAsia" w:cstheme="minorEastAsia"/>
                <w:spacing w:val="5"/>
                <w:sz w:val="18"/>
                <w:szCs w:val="18"/>
              </w:rPr>
              <w:t>标</w:t>
            </w:r>
          </w:p>
        </w:tc>
        <w:tc>
          <w:tcPr>
            <w:tcW w:w="5304" w:type="dxa"/>
            <w:vAlign w:val="center"/>
          </w:tcPr>
          <w:p w14:paraId="6C6F2BC3">
            <w:pPr>
              <w:widowControl w:val="0"/>
              <w:spacing w:line="240" w:lineRule="exact"/>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11"/>
                <w:sz w:val="18"/>
                <w:szCs w:val="18"/>
              </w:rPr>
              <w:t>绩</w:t>
            </w:r>
            <w:r>
              <w:rPr>
                <w:rFonts w:hint="eastAsia" w:ascii="宋体" w:hAnsi="宋体" w:eastAsiaTheme="minorEastAsia" w:cstheme="minorEastAsia"/>
                <w:spacing w:val="7"/>
                <w:sz w:val="18"/>
                <w:szCs w:val="18"/>
              </w:rPr>
              <w:t>效目标合理性</w:t>
            </w:r>
          </w:p>
        </w:tc>
      </w:tr>
      <w:tr w14:paraId="7B2F5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left w:val="single" w:color="auto" w:sz="4" w:space="0"/>
            </w:tcBorders>
            <w:vAlign w:val="center"/>
          </w:tcPr>
          <w:p w14:paraId="11B7FC85">
            <w:pPr>
              <w:widowControl w:val="0"/>
              <w:spacing w:line="240" w:lineRule="exact"/>
              <w:ind w:firstLine="0" w:firstLineChars="0"/>
              <w:jc w:val="center"/>
              <w:rPr>
                <w:rFonts w:ascii="宋体" w:hAnsi="宋体" w:eastAsiaTheme="minorEastAsia" w:cstheme="minorEastAsia"/>
                <w:b/>
                <w:bCs/>
                <w:sz w:val="18"/>
                <w:szCs w:val="18"/>
              </w:rPr>
            </w:pPr>
          </w:p>
        </w:tc>
        <w:tc>
          <w:tcPr>
            <w:tcW w:w="2100" w:type="dxa"/>
            <w:vMerge w:val="continue"/>
            <w:tcBorders>
              <w:top w:val="single" w:color="auto" w:sz="4" w:space="0"/>
              <w:bottom w:val="single" w:color="auto" w:sz="4" w:space="0"/>
            </w:tcBorders>
            <w:vAlign w:val="center"/>
          </w:tcPr>
          <w:p w14:paraId="2D03E637">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textAlignment w:val="baseline"/>
              <w:rPr>
                <w:rFonts w:ascii="宋体" w:hAnsi="宋体" w:eastAsiaTheme="minorEastAsia" w:cstheme="minorEastAsia"/>
                <w:sz w:val="18"/>
                <w:szCs w:val="18"/>
              </w:rPr>
            </w:pPr>
          </w:p>
        </w:tc>
        <w:tc>
          <w:tcPr>
            <w:tcW w:w="5304" w:type="dxa"/>
            <w:vAlign w:val="center"/>
          </w:tcPr>
          <w:p w14:paraId="499B26A3">
            <w:pPr>
              <w:widowControl w:val="0"/>
              <w:spacing w:line="240" w:lineRule="exact"/>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11"/>
                <w:sz w:val="18"/>
                <w:szCs w:val="18"/>
              </w:rPr>
              <w:t>绩</w:t>
            </w:r>
            <w:r>
              <w:rPr>
                <w:rFonts w:hint="eastAsia" w:ascii="宋体" w:hAnsi="宋体" w:eastAsiaTheme="minorEastAsia" w:cstheme="minorEastAsia"/>
                <w:spacing w:val="7"/>
                <w:sz w:val="18"/>
                <w:szCs w:val="18"/>
              </w:rPr>
              <w:t>效指标明确性</w:t>
            </w:r>
          </w:p>
        </w:tc>
      </w:tr>
      <w:tr w14:paraId="7F25A3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left w:val="single" w:color="auto" w:sz="4" w:space="0"/>
            </w:tcBorders>
            <w:vAlign w:val="center"/>
          </w:tcPr>
          <w:p w14:paraId="50E2ECC4">
            <w:pPr>
              <w:widowControl w:val="0"/>
              <w:spacing w:line="240" w:lineRule="exact"/>
              <w:ind w:firstLine="0" w:firstLineChars="0"/>
              <w:jc w:val="center"/>
              <w:rPr>
                <w:rFonts w:ascii="宋体" w:hAnsi="宋体" w:eastAsiaTheme="minorEastAsia" w:cstheme="minorEastAsia"/>
                <w:b/>
                <w:bCs/>
                <w:sz w:val="18"/>
                <w:szCs w:val="18"/>
              </w:rPr>
            </w:pPr>
          </w:p>
        </w:tc>
        <w:tc>
          <w:tcPr>
            <w:tcW w:w="2100" w:type="dxa"/>
            <w:vMerge w:val="restart"/>
            <w:tcBorders>
              <w:top w:val="single" w:color="auto" w:sz="4" w:space="0"/>
              <w:bottom w:val="single" w:color="auto" w:sz="4" w:space="0"/>
            </w:tcBorders>
            <w:vAlign w:val="top"/>
          </w:tcPr>
          <w:p w14:paraId="20186E84">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textAlignment w:val="baseline"/>
              <w:rPr>
                <w:rFonts w:ascii="宋体" w:hAnsi="宋体" w:eastAsiaTheme="minorEastAsia" w:cstheme="minorEastAsia"/>
                <w:sz w:val="18"/>
                <w:szCs w:val="18"/>
              </w:rPr>
            </w:pPr>
          </w:p>
          <w:p w14:paraId="3B5BABE8">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textAlignment w:val="baseline"/>
              <w:rPr>
                <w:rFonts w:ascii="宋体" w:hAnsi="宋体" w:eastAsiaTheme="minorEastAsia" w:cstheme="minorEastAsia"/>
                <w:sz w:val="18"/>
                <w:szCs w:val="18"/>
              </w:rPr>
            </w:pPr>
            <w:r>
              <w:rPr>
                <w:rFonts w:hint="eastAsia" w:ascii="宋体" w:hAnsi="宋体" w:eastAsiaTheme="minorEastAsia" w:cstheme="minorEastAsia"/>
                <w:spacing w:val="5"/>
                <w:sz w:val="18"/>
                <w:szCs w:val="18"/>
              </w:rPr>
              <w:t>资金分配</w:t>
            </w:r>
          </w:p>
        </w:tc>
        <w:tc>
          <w:tcPr>
            <w:tcW w:w="5304" w:type="dxa"/>
            <w:vAlign w:val="center"/>
          </w:tcPr>
          <w:p w14:paraId="5E1E5484">
            <w:pPr>
              <w:widowControl w:val="0"/>
              <w:spacing w:line="240" w:lineRule="exact"/>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8"/>
                <w:sz w:val="18"/>
                <w:szCs w:val="18"/>
              </w:rPr>
              <w:t>平衡方案科学性</w:t>
            </w:r>
          </w:p>
        </w:tc>
      </w:tr>
      <w:tr w14:paraId="4D46BE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left w:val="single" w:color="auto" w:sz="4" w:space="0"/>
              <w:bottom w:val="single" w:color="auto" w:sz="4" w:space="0"/>
            </w:tcBorders>
            <w:vAlign w:val="center"/>
          </w:tcPr>
          <w:p w14:paraId="36EFA7F5">
            <w:pPr>
              <w:widowControl w:val="0"/>
              <w:spacing w:line="240" w:lineRule="exact"/>
              <w:ind w:firstLine="0" w:firstLineChars="0"/>
              <w:jc w:val="center"/>
              <w:rPr>
                <w:rFonts w:ascii="宋体" w:hAnsi="宋体" w:eastAsiaTheme="minorEastAsia" w:cstheme="minorEastAsia"/>
                <w:b/>
                <w:bCs/>
                <w:sz w:val="18"/>
                <w:szCs w:val="18"/>
              </w:rPr>
            </w:pPr>
          </w:p>
        </w:tc>
        <w:tc>
          <w:tcPr>
            <w:tcW w:w="2100" w:type="dxa"/>
            <w:vMerge w:val="continue"/>
            <w:tcBorders>
              <w:top w:val="single" w:color="auto" w:sz="4" w:space="0"/>
              <w:bottom w:val="single" w:color="auto" w:sz="4" w:space="0"/>
            </w:tcBorders>
            <w:vAlign w:val="center"/>
          </w:tcPr>
          <w:p w14:paraId="4F2205F9">
            <w:pPr>
              <w:widowControl w:val="0"/>
              <w:spacing w:line="240" w:lineRule="exact"/>
              <w:ind w:firstLine="0" w:firstLineChars="0"/>
              <w:jc w:val="center"/>
              <w:rPr>
                <w:rFonts w:ascii="宋体" w:hAnsi="宋体" w:eastAsiaTheme="minorEastAsia" w:cstheme="minorEastAsia"/>
                <w:sz w:val="18"/>
                <w:szCs w:val="18"/>
              </w:rPr>
            </w:pPr>
          </w:p>
        </w:tc>
        <w:tc>
          <w:tcPr>
            <w:tcW w:w="5304" w:type="dxa"/>
            <w:tcBorders>
              <w:bottom w:val="single" w:color="auto" w:sz="4" w:space="0"/>
            </w:tcBorders>
            <w:vAlign w:val="center"/>
          </w:tcPr>
          <w:p w14:paraId="771DCD16">
            <w:pPr>
              <w:widowControl w:val="0"/>
              <w:spacing w:line="240" w:lineRule="exact"/>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11"/>
                <w:sz w:val="18"/>
                <w:szCs w:val="18"/>
              </w:rPr>
              <w:t>资</w:t>
            </w:r>
            <w:r>
              <w:rPr>
                <w:rFonts w:hint="eastAsia" w:ascii="宋体" w:hAnsi="宋体" w:eastAsiaTheme="minorEastAsia" w:cstheme="minorEastAsia"/>
                <w:spacing w:val="7"/>
                <w:sz w:val="18"/>
                <w:szCs w:val="18"/>
              </w:rPr>
              <w:t>金分配的合理性</w:t>
            </w:r>
          </w:p>
        </w:tc>
      </w:tr>
      <w:tr w14:paraId="0FC9A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restart"/>
            <w:tcBorders>
              <w:top w:val="single" w:color="auto" w:sz="4" w:space="0"/>
              <w:left w:val="single" w:color="auto" w:sz="4" w:space="0"/>
              <w:bottom w:val="single" w:color="auto" w:sz="4" w:space="0"/>
              <w:right w:val="single" w:color="auto" w:sz="4" w:space="0"/>
            </w:tcBorders>
            <w:vAlign w:val="center"/>
          </w:tcPr>
          <w:p w14:paraId="7E8A12BF">
            <w:pPr>
              <w:widowControl w:val="0"/>
              <w:spacing w:line="240" w:lineRule="exact"/>
              <w:ind w:firstLine="0" w:firstLineChars="0"/>
              <w:jc w:val="center"/>
              <w:rPr>
                <w:rFonts w:ascii="宋体" w:hAnsi="宋体" w:eastAsiaTheme="minorEastAsia" w:cstheme="minorEastAsia"/>
                <w:b w:val="0"/>
                <w:bCs w:val="0"/>
                <w:sz w:val="18"/>
                <w:szCs w:val="18"/>
              </w:rPr>
            </w:pPr>
            <w:r>
              <w:rPr>
                <w:rFonts w:hint="eastAsia" w:ascii="宋体" w:hAnsi="宋体" w:eastAsiaTheme="minorEastAsia" w:cstheme="minorEastAsia"/>
                <w:b w:val="0"/>
                <w:bCs w:val="0"/>
                <w:spacing w:val="2"/>
                <w:sz w:val="18"/>
                <w:szCs w:val="18"/>
              </w:rPr>
              <w:t>过程</w:t>
            </w:r>
          </w:p>
        </w:tc>
        <w:tc>
          <w:tcPr>
            <w:tcW w:w="2100" w:type="dxa"/>
            <w:vMerge w:val="restart"/>
            <w:tcBorders>
              <w:top w:val="single" w:color="auto" w:sz="4" w:space="0"/>
              <w:left w:val="single" w:color="auto" w:sz="4" w:space="0"/>
              <w:bottom w:val="single" w:color="auto" w:sz="4" w:space="0"/>
              <w:right w:val="single" w:color="auto" w:sz="4" w:space="0"/>
            </w:tcBorders>
            <w:vAlign w:val="center"/>
          </w:tcPr>
          <w:p w14:paraId="69418BD9">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10"/>
                <w:sz w:val="18"/>
                <w:szCs w:val="18"/>
              </w:rPr>
              <w:t>资</w:t>
            </w:r>
            <w:r>
              <w:rPr>
                <w:rFonts w:hint="eastAsia" w:ascii="宋体" w:hAnsi="宋体" w:eastAsiaTheme="minorEastAsia" w:cstheme="minorEastAsia"/>
                <w:spacing w:val="6"/>
                <w:sz w:val="18"/>
                <w:szCs w:val="18"/>
              </w:rPr>
              <w:t>金使用情况</w:t>
            </w:r>
          </w:p>
        </w:tc>
        <w:tc>
          <w:tcPr>
            <w:tcW w:w="5304" w:type="dxa"/>
            <w:tcBorders>
              <w:top w:val="single" w:color="auto" w:sz="4" w:space="0"/>
              <w:left w:val="single" w:color="auto" w:sz="4" w:space="0"/>
              <w:bottom w:val="single" w:color="auto" w:sz="4" w:space="0"/>
              <w:right w:val="single" w:color="auto" w:sz="4" w:space="0"/>
            </w:tcBorders>
            <w:vAlign w:val="center"/>
          </w:tcPr>
          <w:p w14:paraId="1F1F615D">
            <w:pPr>
              <w:keepNext w:val="0"/>
              <w:keepLines w:val="0"/>
              <w:pageBreakBefore w:val="0"/>
              <w:widowControl w:val="0"/>
              <w:kinsoku w:val="0"/>
              <w:wordWrap/>
              <w:overflowPunct/>
              <w:topLinePunct w:val="0"/>
              <w:autoSpaceDE w:val="0"/>
              <w:autoSpaceDN w:val="0"/>
              <w:bidi w:val="0"/>
              <w:adjustRightInd w:val="0"/>
              <w:snapToGrid w:val="0"/>
              <w:spacing w:line="240" w:lineRule="auto"/>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6"/>
                <w:sz w:val="18"/>
                <w:szCs w:val="18"/>
              </w:rPr>
              <w:t>资金到位率</w:t>
            </w:r>
          </w:p>
        </w:tc>
      </w:tr>
      <w:tr w14:paraId="1C3E42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top w:val="single" w:color="auto" w:sz="4" w:space="0"/>
              <w:left w:val="single" w:color="auto" w:sz="4" w:space="0"/>
              <w:bottom w:val="single" w:color="auto" w:sz="4" w:space="0"/>
              <w:right w:val="single" w:color="auto" w:sz="4" w:space="0"/>
            </w:tcBorders>
            <w:vAlign w:val="center"/>
          </w:tcPr>
          <w:p w14:paraId="292DC1D9">
            <w:pPr>
              <w:widowControl w:val="0"/>
              <w:spacing w:line="240" w:lineRule="exact"/>
              <w:ind w:firstLine="0" w:firstLineChars="0"/>
              <w:jc w:val="center"/>
              <w:rPr>
                <w:rFonts w:ascii="宋体" w:hAnsi="宋体" w:eastAsiaTheme="minorEastAsia" w:cstheme="minorEastAsia"/>
                <w:b w:val="0"/>
                <w:bCs w:val="0"/>
                <w:sz w:val="18"/>
                <w:szCs w:val="18"/>
              </w:rPr>
            </w:pPr>
          </w:p>
        </w:tc>
        <w:tc>
          <w:tcPr>
            <w:tcW w:w="2100" w:type="dxa"/>
            <w:vMerge w:val="continue"/>
            <w:tcBorders>
              <w:top w:val="single" w:color="auto" w:sz="4" w:space="0"/>
              <w:left w:val="single" w:color="auto" w:sz="4" w:space="0"/>
              <w:bottom w:val="single" w:color="auto" w:sz="4" w:space="0"/>
              <w:right w:val="single" w:color="auto" w:sz="4" w:space="0"/>
            </w:tcBorders>
            <w:vAlign w:val="center"/>
          </w:tcPr>
          <w:p w14:paraId="64E0BFB0">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rPr>
                <w:rFonts w:ascii="宋体" w:hAnsi="宋体" w:eastAsiaTheme="minorEastAsia" w:cstheme="minorEastAsia"/>
                <w:sz w:val="18"/>
                <w:szCs w:val="18"/>
              </w:rPr>
            </w:pPr>
          </w:p>
        </w:tc>
        <w:tc>
          <w:tcPr>
            <w:tcW w:w="5304" w:type="dxa"/>
            <w:tcBorders>
              <w:top w:val="single" w:color="auto" w:sz="4" w:space="0"/>
              <w:left w:val="single" w:color="auto" w:sz="4" w:space="0"/>
              <w:bottom w:val="single" w:color="auto" w:sz="4" w:space="0"/>
              <w:right w:val="single" w:color="auto" w:sz="4" w:space="0"/>
            </w:tcBorders>
            <w:vAlign w:val="center"/>
          </w:tcPr>
          <w:p w14:paraId="5545C354">
            <w:pPr>
              <w:keepNext w:val="0"/>
              <w:keepLines w:val="0"/>
              <w:pageBreakBefore w:val="0"/>
              <w:widowControl w:val="0"/>
              <w:kinsoku w:val="0"/>
              <w:wordWrap/>
              <w:overflowPunct/>
              <w:topLinePunct w:val="0"/>
              <w:autoSpaceDE w:val="0"/>
              <w:autoSpaceDN w:val="0"/>
              <w:bidi w:val="0"/>
              <w:adjustRightInd w:val="0"/>
              <w:snapToGrid w:val="0"/>
              <w:spacing w:line="240" w:lineRule="auto"/>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6"/>
                <w:sz w:val="18"/>
                <w:szCs w:val="18"/>
              </w:rPr>
              <w:t>预算执行率</w:t>
            </w:r>
          </w:p>
        </w:tc>
      </w:tr>
      <w:tr w14:paraId="7F9E7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top w:val="single" w:color="auto" w:sz="4" w:space="0"/>
              <w:left w:val="single" w:color="auto" w:sz="4" w:space="0"/>
              <w:bottom w:val="single" w:color="auto" w:sz="4" w:space="0"/>
              <w:right w:val="single" w:color="auto" w:sz="4" w:space="0"/>
            </w:tcBorders>
            <w:vAlign w:val="center"/>
          </w:tcPr>
          <w:p w14:paraId="10F3ABE8">
            <w:pPr>
              <w:widowControl w:val="0"/>
              <w:spacing w:line="240" w:lineRule="exact"/>
              <w:ind w:firstLine="0" w:firstLineChars="0"/>
              <w:jc w:val="center"/>
              <w:rPr>
                <w:rFonts w:ascii="宋体" w:hAnsi="宋体" w:eastAsiaTheme="minorEastAsia" w:cstheme="minorEastAsia"/>
                <w:b w:val="0"/>
                <w:bCs w:val="0"/>
                <w:sz w:val="18"/>
                <w:szCs w:val="18"/>
              </w:rPr>
            </w:pPr>
          </w:p>
        </w:tc>
        <w:tc>
          <w:tcPr>
            <w:tcW w:w="2100" w:type="dxa"/>
            <w:vMerge w:val="continue"/>
            <w:tcBorders>
              <w:top w:val="single" w:color="auto" w:sz="4" w:space="0"/>
              <w:left w:val="single" w:color="auto" w:sz="4" w:space="0"/>
              <w:bottom w:val="single" w:color="auto" w:sz="4" w:space="0"/>
              <w:right w:val="single" w:color="auto" w:sz="4" w:space="0"/>
            </w:tcBorders>
            <w:vAlign w:val="center"/>
          </w:tcPr>
          <w:p w14:paraId="224B1EE0">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rPr>
                <w:rFonts w:ascii="宋体" w:hAnsi="宋体" w:eastAsiaTheme="minorEastAsia" w:cstheme="minorEastAsia"/>
                <w:sz w:val="18"/>
                <w:szCs w:val="18"/>
              </w:rPr>
            </w:pPr>
          </w:p>
        </w:tc>
        <w:tc>
          <w:tcPr>
            <w:tcW w:w="5304" w:type="dxa"/>
            <w:tcBorders>
              <w:top w:val="single" w:color="auto" w:sz="4" w:space="0"/>
              <w:left w:val="single" w:color="auto" w:sz="4" w:space="0"/>
              <w:bottom w:val="single" w:color="auto" w:sz="4" w:space="0"/>
              <w:right w:val="single" w:color="auto" w:sz="4" w:space="0"/>
            </w:tcBorders>
            <w:vAlign w:val="center"/>
          </w:tcPr>
          <w:p w14:paraId="3795E5C4">
            <w:pPr>
              <w:keepNext w:val="0"/>
              <w:keepLines w:val="0"/>
              <w:pageBreakBefore w:val="0"/>
              <w:widowControl w:val="0"/>
              <w:kinsoku w:val="0"/>
              <w:wordWrap/>
              <w:overflowPunct/>
              <w:topLinePunct w:val="0"/>
              <w:autoSpaceDE w:val="0"/>
              <w:autoSpaceDN w:val="0"/>
              <w:bidi w:val="0"/>
              <w:adjustRightInd w:val="0"/>
              <w:snapToGrid w:val="0"/>
              <w:spacing w:line="240" w:lineRule="auto"/>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8"/>
                <w:sz w:val="18"/>
                <w:szCs w:val="18"/>
              </w:rPr>
              <w:t>资</w:t>
            </w:r>
            <w:r>
              <w:rPr>
                <w:rFonts w:hint="eastAsia" w:ascii="宋体" w:hAnsi="宋体" w:eastAsiaTheme="minorEastAsia" w:cstheme="minorEastAsia"/>
                <w:spacing w:val="7"/>
                <w:sz w:val="18"/>
                <w:szCs w:val="18"/>
              </w:rPr>
              <w:t>金使用合规性</w:t>
            </w:r>
          </w:p>
        </w:tc>
      </w:tr>
      <w:tr w14:paraId="67A0E4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top w:val="single" w:color="auto" w:sz="4" w:space="0"/>
              <w:left w:val="single" w:color="auto" w:sz="4" w:space="0"/>
              <w:bottom w:val="single" w:color="auto" w:sz="4" w:space="0"/>
              <w:right w:val="single" w:color="auto" w:sz="4" w:space="0"/>
            </w:tcBorders>
            <w:vAlign w:val="center"/>
          </w:tcPr>
          <w:p w14:paraId="60F78B8E">
            <w:pPr>
              <w:widowControl w:val="0"/>
              <w:spacing w:line="240" w:lineRule="exact"/>
              <w:ind w:firstLine="0" w:firstLineChars="0"/>
              <w:jc w:val="center"/>
              <w:rPr>
                <w:rFonts w:ascii="宋体" w:hAnsi="宋体" w:eastAsiaTheme="minorEastAsia" w:cstheme="minorEastAsia"/>
                <w:b w:val="0"/>
                <w:bCs w:val="0"/>
                <w:sz w:val="18"/>
                <w:szCs w:val="18"/>
              </w:rPr>
            </w:pPr>
          </w:p>
        </w:tc>
        <w:tc>
          <w:tcPr>
            <w:tcW w:w="2100" w:type="dxa"/>
            <w:vMerge w:val="restart"/>
            <w:tcBorders>
              <w:top w:val="single" w:color="auto" w:sz="4" w:space="0"/>
              <w:left w:val="single" w:color="auto" w:sz="4" w:space="0"/>
              <w:bottom w:val="single" w:color="auto" w:sz="4" w:space="0"/>
              <w:right w:val="single" w:color="auto" w:sz="4" w:space="0"/>
            </w:tcBorders>
            <w:vAlign w:val="center"/>
          </w:tcPr>
          <w:p w14:paraId="6CB107A2">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9"/>
                <w:sz w:val="18"/>
                <w:szCs w:val="18"/>
              </w:rPr>
              <w:t>管</w:t>
            </w:r>
            <w:r>
              <w:rPr>
                <w:rFonts w:hint="eastAsia" w:ascii="宋体" w:hAnsi="宋体" w:eastAsiaTheme="minorEastAsia" w:cstheme="minorEastAsia"/>
                <w:spacing w:val="8"/>
                <w:sz w:val="18"/>
                <w:szCs w:val="18"/>
              </w:rPr>
              <w:t>理组织情况</w:t>
            </w:r>
          </w:p>
        </w:tc>
        <w:tc>
          <w:tcPr>
            <w:tcW w:w="5304" w:type="dxa"/>
            <w:tcBorders>
              <w:top w:val="single" w:color="auto" w:sz="4" w:space="0"/>
              <w:left w:val="single" w:color="auto" w:sz="4" w:space="0"/>
              <w:bottom w:val="single" w:color="auto" w:sz="4" w:space="0"/>
              <w:right w:val="single" w:color="auto" w:sz="4" w:space="0"/>
            </w:tcBorders>
            <w:vAlign w:val="center"/>
          </w:tcPr>
          <w:p w14:paraId="58C0F471">
            <w:pPr>
              <w:keepNext w:val="0"/>
              <w:keepLines w:val="0"/>
              <w:pageBreakBefore w:val="0"/>
              <w:widowControl w:val="0"/>
              <w:kinsoku w:val="0"/>
              <w:wordWrap/>
              <w:overflowPunct/>
              <w:topLinePunct w:val="0"/>
              <w:autoSpaceDE w:val="0"/>
              <w:autoSpaceDN w:val="0"/>
              <w:bidi w:val="0"/>
              <w:adjustRightInd w:val="0"/>
              <w:snapToGrid w:val="0"/>
              <w:spacing w:line="240" w:lineRule="auto"/>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11"/>
                <w:sz w:val="18"/>
                <w:szCs w:val="18"/>
              </w:rPr>
              <w:t>管</w:t>
            </w:r>
            <w:r>
              <w:rPr>
                <w:rFonts w:hint="eastAsia" w:ascii="宋体" w:hAnsi="宋体" w:eastAsiaTheme="minorEastAsia" w:cstheme="minorEastAsia"/>
                <w:spacing w:val="8"/>
                <w:sz w:val="18"/>
                <w:szCs w:val="18"/>
              </w:rPr>
              <w:t>理制度健全性</w:t>
            </w:r>
          </w:p>
        </w:tc>
      </w:tr>
      <w:tr w14:paraId="66644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top w:val="single" w:color="auto" w:sz="4" w:space="0"/>
              <w:left w:val="single" w:color="auto" w:sz="4" w:space="0"/>
              <w:bottom w:val="single" w:color="auto" w:sz="4" w:space="0"/>
              <w:right w:val="single" w:color="auto" w:sz="4" w:space="0"/>
            </w:tcBorders>
            <w:vAlign w:val="center"/>
          </w:tcPr>
          <w:p w14:paraId="0404F6F9">
            <w:pPr>
              <w:widowControl w:val="0"/>
              <w:spacing w:line="240" w:lineRule="exact"/>
              <w:ind w:firstLine="0" w:firstLineChars="0"/>
              <w:jc w:val="center"/>
              <w:rPr>
                <w:rFonts w:ascii="宋体" w:hAnsi="宋体" w:eastAsiaTheme="minorEastAsia" w:cstheme="minorEastAsia"/>
                <w:b w:val="0"/>
                <w:bCs w:val="0"/>
                <w:sz w:val="18"/>
                <w:szCs w:val="18"/>
              </w:rPr>
            </w:pPr>
          </w:p>
        </w:tc>
        <w:tc>
          <w:tcPr>
            <w:tcW w:w="2100" w:type="dxa"/>
            <w:vMerge w:val="continue"/>
            <w:tcBorders>
              <w:top w:val="single" w:color="auto" w:sz="4" w:space="0"/>
              <w:left w:val="single" w:color="auto" w:sz="4" w:space="0"/>
              <w:bottom w:val="single" w:color="auto" w:sz="4" w:space="0"/>
              <w:right w:val="single" w:color="auto" w:sz="4" w:space="0"/>
            </w:tcBorders>
            <w:vAlign w:val="center"/>
          </w:tcPr>
          <w:p w14:paraId="1518CD45">
            <w:pPr>
              <w:keepNext w:val="0"/>
              <w:keepLines w:val="0"/>
              <w:pageBreakBefore w:val="0"/>
              <w:widowControl w:val="0"/>
              <w:kinsoku w:val="0"/>
              <w:wordWrap/>
              <w:overflowPunct/>
              <w:topLinePunct w:val="0"/>
              <w:autoSpaceDE w:val="0"/>
              <w:autoSpaceDN w:val="0"/>
              <w:bidi w:val="0"/>
              <w:adjustRightInd w:val="0"/>
              <w:snapToGrid w:val="0"/>
              <w:spacing w:line="240" w:lineRule="auto"/>
              <w:ind w:firstLine="0" w:firstLineChars="0"/>
              <w:jc w:val="center"/>
              <w:rPr>
                <w:rFonts w:ascii="宋体" w:hAnsi="宋体" w:eastAsiaTheme="minorEastAsia" w:cstheme="minorEastAsia"/>
                <w:sz w:val="18"/>
                <w:szCs w:val="18"/>
              </w:rPr>
            </w:pPr>
          </w:p>
        </w:tc>
        <w:tc>
          <w:tcPr>
            <w:tcW w:w="5304" w:type="dxa"/>
            <w:tcBorders>
              <w:top w:val="single" w:color="auto" w:sz="4" w:space="0"/>
              <w:left w:val="single" w:color="auto" w:sz="4" w:space="0"/>
              <w:bottom w:val="single" w:color="auto" w:sz="4" w:space="0"/>
              <w:right w:val="single" w:color="auto" w:sz="4" w:space="0"/>
            </w:tcBorders>
            <w:vAlign w:val="center"/>
          </w:tcPr>
          <w:p w14:paraId="2378AD22">
            <w:pPr>
              <w:keepNext w:val="0"/>
              <w:keepLines w:val="0"/>
              <w:pageBreakBefore w:val="0"/>
              <w:widowControl w:val="0"/>
              <w:kinsoku w:val="0"/>
              <w:wordWrap/>
              <w:overflowPunct/>
              <w:topLinePunct w:val="0"/>
              <w:autoSpaceDE w:val="0"/>
              <w:autoSpaceDN w:val="0"/>
              <w:bidi w:val="0"/>
              <w:adjustRightInd w:val="0"/>
              <w:snapToGrid w:val="0"/>
              <w:spacing w:line="240" w:lineRule="auto"/>
              <w:ind w:left="300" w:leftChars="100" w:firstLine="0" w:firstLineChars="0"/>
              <w:jc w:val="center"/>
              <w:rPr>
                <w:rFonts w:ascii="宋体" w:hAnsi="宋体" w:eastAsiaTheme="minorEastAsia" w:cstheme="minorEastAsia"/>
                <w:sz w:val="18"/>
                <w:szCs w:val="18"/>
              </w:rPr>
            </w:pPr>
            <w:r>
              <w:rPr>
                <w:rFonts w:hint="eastAsia" w:ascii="宋体" w:hAnsi="宋体" w:eastAsiaTheme="minorEastAsia" w:cstheme="minorEastAsia"/>
                <w:spacing w:val="9"/>
                <w:sz w:val="18"/>
                <w:szCs w:val="18"/>
              </w:rPr>
              <w:t>组</w:t>
            </w:r>
            <w:r>
              <w:rPr>
                <w:rFonts w:hint="eastAsia" w:ascii="宋体" w:hAnsi="宋体" w:eastAsiaTheme="minorEastAsia" w:cstheme="minorEastAsia"/>
                <w:spacing w:val="8"/>
                <w:sz w:val="18"/>
                <w:szCs w:val="18"/>
              </w:rPr>
              <w:t>织实施有效性</w:t>
            </w:r>
          </w:p>
        </w:tc>
      </w:tr>
      <w:tr w14:paraId="6A431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restart"/>
            <w:tcBorders>
              <w:top w:val="single" w:color="auto" w:sz="4" w:space="0"/>
              <w:left w:val="single" w:color="auto" w:sz="4" w:space="0"/>
              <w:bottom w:val="single" w:color="auto" w:sz="4" w:space="0"/>
              <w:right w:val="single" w:color="auto" w:sz="4" w:space="0"/>
            </w:tcBorders>
            <w:vAlign w:val="center"/>
          </w:tcPr>
          <w:p w14:paraId="52570D4E">
            <w:pPr>
              <w:ind w:firstLine="0" w:firstLineChars="0"/>
              <w:jc w:val="center"/>
              <w:textAlignment w:val="bottom"/>
              <w:rPr>
                <w:rFonts w:ascii="宋体" w:hAnsi="宋体" w:eastAsiaTheme="minorEastAsia" w:cstheme="minorEastAsia"/>
                <w:b w:val="0"/>
                <w:bCs w:val="0"/>
                <w:sz w:val="18"/>
                <w:szCs w:val="18"/>
              </w:rPr>
            </w:pPr>
            <w:r>
              <w:rPr>
                <w:rStyle w:val="18"/>
                <w:rFonts w:hint="default"/>
                <w:b w:val="0"/>
                <w:bCs w:val="0"/>
              </w:rPr>
              <w:t>产出</w:t>
            </w:r>
          </w:p>
        </w:tc>
        <w:tc>
          <w:tcPr>
            <w:tcW w:w="2100" w:type="dxa"/>
            <w:tcBorders>
              <w:top w:val="single" w:color="auto" w:sz="4" w:space="0"/>
              <w:left w:val="single" w:color="auto" w:sz="4" w:space="0"/>
              <w:bottom w:val="single" w:color="auto" w:sz="4" w:space="0"/>
              <w:right w:val="single" w:color="auto" w:sz="4" w:space="0"/>
            </w:tcBorders>
            <w:vAlign w:val="center"/>
          </w:tcPr>
          <w:p w14:paraId="0B5DB0A0">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z w:val="18"/>
                <w:szCs w:val="18"/>
              </w:rPr>
            </w:pPr>
            <w:r>
              <w:rPr>
                <w:rStyle w:val="19"/>
                <w:rFonts w:hint="default"/>
              </w:rPr>
              <w:t>产出数量</w:t>
            </w:r>
          </w:p>
        </w:tc>
        <w:tc>
          <w:tcPr>
            <w:tcW w:w="5304" w:type="dxa"/>
            <w:tcBorders>
              <w:top w:val="single" w:color="auto" w:sz="4" w:space="0"/>
              <w:left w:val="single" w:color="auto" w:sz="4" w:space="0"/>
              <w:bottom w:val="single" w:color="auto" w:sz="4" w:space="0"/>
              <w:right w:val="single" w:color="auto" w:sz="4" w:space="0"/>
            </w:tcBorders>
            <w:vAlign w:val="center"/>
          </w:tcPr>
          <w:p w14:paraId="2E7FB61D">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z w:val="18"/>
                <w:szCs w:val="18"/>
              </w:rPr>
            </w:pPr>
            <w:r>
              <w:rPr>
                <w:rStyle w:val="19"/>
                <w:rFonts w:hint="default"/>
              </w:rPr>
              <w:t>进度计划完工率</w:t>
            </w:r>
          </w:p>
        </w:tc>
      </w:tr>
      <w:tr w14:paraId="74E2D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top w:val="single" w:color="auto" w:sz="4" w:space="0"/>
              <w:left w:val="single" w:color="auto" w:sz="4" w:space="0"/>
              <w:bottom w:val="single" w:color="auto" w:sz="4" w:space="0"/>
              <w:right w:val="single" w:color="auto" w:sz="4" w:space="0"/>
            </w:tcBorders>
            <w:vAlign w:val="center"/>
          </w:tcPr>
          <w:p w14:paraId="509E37E3">
            <w:pPr>
              <w:ind w:firstLine="0" w:firstLineChars="0"/>
              <w:jc w:val="center"/>
              <w:rPr>
                <w:rFonts w:ascii="宋体" w:hAnsi="宋体" w:eastAsiaTheme="minorEastAsia" w:cstheme="minorEastAsia"/>
                <w:b w:val="0"/>
                <w:bCs w:val="0"/>
                <w:sz w:val="18"/>
                <w:szCs w:val="18"/>
              </w:rPr>
            </w:pPr>
          </w:p>
        </w:tc>
        <w:tc>
          <w:tcPr>
            <w:tcW w:w="2100" w:type="dxa"/>
            <w:tcBorders>
              <w:top w:val="single" w:color="auto" w:sz="4" w:space="0"/>
              <w:left w:val="single" w:color="auto" w:sz="4" w:space="0"/>
              <w:bottom w:val="single" w:color="auto" w:sz="4" w:space="0"/>
              <w:right w:val="single" w:color="auto" w:sz="4" w:space="0"/>
            </w:tcBorders>
            <w:vAlign w:val="center"/>
          </w:tcPr>
          <w:p w14:paraId="35CCB452">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z w:val="18"/>
                <w:szCs w:val="18"/>
              </w:rPr>
            </w:pPr>
            <w:r>
              <w:rPr>
                <w:rStyle w:val="19"/>
                <w:rFonts w:hint="default"/>
              </w:rPr>
              <w:t>产出质量</w:t>
            </w:r>
          </w:p>
        </w:tc>
        <w:tc>
          <w:tcPr>
            <w:tcW w:w="5304" w:type="dxa"/>
            <w:tcBorders>
              <w:top w:val="single" w:color="auto" w:sz="4" w:space="0"/>
              <w:left w:val="single" w:color="auto" w:sz="4" w:space="0"/>
              <w:bottom w:val="single" w:color="auto" w:sz="4" w:space="0"/>
              <w:right w:val="single" w:color="auto" w:sz="4" w:space="0"/>
            </w:tcBorders>
            <w:vAlign w:val="center"/>
          </w:tcPr>
          <w:p w14:paraId="4A038FD6">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z w:val="18"/>
                <w:szCs w:val="18"/>
              </w:rPr>
            </w:pPr>
            <w:r>
              <w:rPr>
                <w:rStyle w:val="19"/>
                <w:rFonts w:hint="default"/>
              </w:rPr>
              <w:t>质量检测达标情况</w:t>
            </w:r>
          </w:p>
        </w:tc>
      </w:tr>
      <w:tr w14:paraId="13865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top w:val="single" w:color="auto" w:sz="4" w:space="0"/>
              <w:left w:val="single" w:color="auto" w:sz="4" w:space="0"/>
              <w:bottom w:val="single" w:color="auto" w:sz="4" w:space="0"/>
              <w:right w:val="single" w:color="auto" w:sz="4" w:space="0"/>
            </w:tcBorders>
            <w:vAlign w:val="center"/>
          </w:tcPr>
          <w:p w14:paraId="2F84CC0A">
            <w:pPr>
              <w:ind w:firstLine="0" w:firstLineChars="0"/>
              <w:jc w:val="center"/>
              <w:rPr>
                <w:rFonts w:ascii="宋体" w:hAnsi="宋体" w:eastAsiaTheme="minorEastAsia" w:cstheme="minorEastAsia"/>
                <w:b w:val="0"/>
                <w:bCs w:val="0"/>
                <w:sz w:val="18"/>
                <w:szCs w:val="18"/>
              </w:rPr>
            </w:pPr>
          </w:p>
        </w:tc>
        <w:tc>
          <w:tcPr>
            <w:tcW w:w="2100" w:type="dxa"/>
            <w:tcBorders>
              <w:top w:val="single" w:color="auto" w:sz="4" w:space="0"/>
              <w:left w:val="single" w:color="auto" w:sz="4" w:space="0"/>
              <w:bottom w:val="single" w:color="auto" w:sz="4" w:space="0"/>
              <w:right w:val="single" w:color="auto" w:sz="4" w:space="0"/>
            </w:tcBorders>
            <w:vAlign w:val="center"/>
          </w:tcPr>
          <w:p w14:paraId="2CC4F8FD">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z w:val="18"/>
                <w:szCs w:val="18"/>
              </w:rPr>
            </w:pPr>
            <w:r>
              <w:rPr>
                <w:rStyle w:val="19"/>
                <w:rFonts w:hint="default"/>
              </w:rPr>
              <w:t>产出时效</w:t>
            </w:r>
          </w:p>
        </w:tc>
        <w:tc>
          <w:tcPr>
            <w:tcW w:w="5304" w:type="dxa"/>
            <w:tcBorders>
              <w:top w:val="single" w:color="auto" w:sz="4" w:space="0"/>
              <w:left w:val="single" w:color="auto" w:sz="4" w:space="0"/>
              <w:bottom w:val="single" w:color="auto" w:sz="4" w:space="0"/>
              <w:right w:val="single" w:color="auto" w:sz="4" w:space="0"/>
            </w:tcBorders>
            <w:vAlign w:val="center"/>
          </w:tcPr>
          <w:p w14:paraId="6E600A8B">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z w:val="18"/>
                <w:szCs w:val="18"/>
              </w:rPr>
            </w:pPr>
            <w:r>
              <w:rPr>
                <w:rStyle w:val="19"/>
                <w:rFonts w:hint="default"/>
              </w:rPr>
              <w:t>开工竣工及时率</w:t>
            </w:r>
          </w:p>
        </w:tc>
      </w:tr>
      <w:tr w14:paraId="1BE6B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tcBorders>
              <w:top w:val="single" w:color="auto" w:sz="4" w:space="0"/>
            </w:tcBorders>
            <w:vAlign w:val="center"/>
          </w:tcPr>
          <w:p w14:paraId="0BCF7FCE">
            <w:pPr>
              <w:ind w:firstLine="0" w:firstLineChars="0"/>
              <w:jc w:val="center"/>
              <w:rPr>
                <w:rFonts w:ascii="宋体" w:hAnsi="宋体" w:eastAsiaTheme="minorEastAsia" w:cstheme="minorEastAsia"/>
                <w:b w:val="0"/>
                <w:bCs w:val="0"/>
                <w:sz w:val="18"/>
                <w:szCs w:val="18"/>
              </w:rPr>
            </w:pPr>
          </w:p>
        </w:tc>
        <w:tc>
          <w:tcPr>
            <w:tcW w:w="2100" w:type="dxa"/>
            <w:tcBorders>
              <w:top w:val="single" w:color="auto" w:sz="4" w:space="0"/>
            </w:tcBorders>
            <w:vAlign w:val="center"/>
          </w:tcPr>
          <w:p w14:paraId="793DB595">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pacing w:val="9"/>
                <w:sz w:val="18"/>
                <w:szCs w:val="18"/>
              </w:rPr>
            </w:pPr>
            <w:r>
              <w:rPr>
                <w:rStyle w:val="19"/>
                <w:rFonts w:hint="default"/>
              </w:rPr>
              <w:t>产出成本</w:t>
            </w:r>
          </w:p>
        </w:tc>
        <w:tc>
          <w:tcPr>
            <w:tcW w:w="5304" w:type="dxa"/>
            <w:tcBorders>
              <w:top w:val="single" w:color="auto" w:sz="4" w:space="0"/>
            </w:tcBorders>
            <w:vAlign w:val="center"/>
          </w:tcPr>
          <w:p w14:paraId="7883D105">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pacing w:val="9"/>
                <w:sz w:val="18"/>
                <w:szCs w:val="18"/>
              </w:rPr>
            </w:pPr>
            <w:r>
              <w:rPr>
                <w:rStyle w:val="19"/>
                <w:rFonts w:hint="default"/>
              </w:rPr>
              <w:t>成本使用</w:t>
            </w:r>
          </w:p>
        </w:tc>
      </w:tr>
      <w:tr w14:paraId="0F866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restart"/>
            <w:vAlign w:val="center"/>
          </w:tcPr>
          <w:p w14:paraId="76A57E8A">
            <w:pPr>
              <w:ind w:firstLine="0" w:firstLineChars="0"/>
              <w:jc w:val="center"/>
              <w:textAlignment w:val="bottom"/>
              <w:rPr>
                <w:rFonts w:ascii="宋体" w:hAnsi="宋体" w:eastAsiaTheme="minorEastAsia" w:cstheme="minorEastAsia"/>
                <w:b w:val="0"/>
                <w:bCs w:val="0"/>
                <w:sz w:val="18"/>
                <w:szCs w:val="18"/>
              </w:rPr>
            </w:pPr>
            <w:r>
              <w:rPr>
                <w:rStyle w:val="18"/>
                <w:rFonts w:hint="default"/>
                <w:b w:val="0"/>
                <w:bCs w:val="0"/>
              </w:rPr>
              <w:t>效益</w:t>
            </w:r>
          </w:p>
        </w:tc>
        <w:tc>
          <w:tcPr>
            <w:tcW w:w="2100" w:type="dxa"/>
            <w:vAlign w:val="center"/>
          </w:tcPr>
          <w:p w14:paraId="41D1A440">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pacing w:val="9"/>
                <w:sz w:val="18"/>
                <w:szCs w:val="18"/>
              </w:rPr>
            </w:pPr>
            <w:r>
              <w:rPr>
                <w:rStyle w:val="19"/>
                <w:rFonts w:hint="default"/>
              </w:rPr>
              <w:t>社会效益</w:t>
            </w:r>
          </w:p>
        </w:tc>
        <w:tc>
          <w:tcPr>
            <w:tcW w:w="5304" w:type="dxa"/>
            <w:vAlign w:val="center"/>
          </w:tcPr>
          <w:p w14:paraId="2DF1C718">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pacing w:val="9"/>
                <w:sz w:val="18"/>
                <w:szCs w:val="18"/>
              </w:rPr>
            </w:pPr>
            <w:r>
              <w:rPr>
                <w:rStyle w:val="19"/>
                <w:rFonts w:hint="default"/>
              </w:rPr>
              <w:t>社会影响度</w:t>
            </w:r>
          </w:p>
        </w:tc>
      </w:tr>
      <w:tr w14:paraId="496CF7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vAlign w:val="bottom"/>
          </w:tcPr>
          <w:p w14:paraId="514A98C2">
            <w:pPr>
              <w:ind w:firstLine="360"/>
              <w:jc w:val="center"/>
              <w:rPr>
                <w:rFonts w:ascii="宋体" w:hAnsi="宋体" w:eastAsiaTheme="minorEastAsia" w:cstheme="minorEastAsia"/>
                <w:sz w:val="18"/>
                <w:szCs w:val="18"/>
              </w:rPr>
            </w:pPr>
          </w:p>
        </w:tc>
        <w:tc>
          <w:tcPr>
            <w:tcW w:w="2100" w:type="dxa"/>
            <w:vAlign w:val="center"/>
          </w:tcPr>
          <w:p w14:paraId="132B117F">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pacing w:val="9"/>
                <w:sz w:val="18"/>
                <w:szCs w:val="18"/>
              </w:rPr>
            </w:pPr>
            <w:r>
              <w:rPr>
                <w:rStyle w:val="19"/>
                <w:rFonts w:hint="default"/>
              </w:rPr>
              <w:t>经济效益</w:t>
            </w:r>
          </w:p>
        </w:tc>
        <w:tc>
          <w:tcPr>
            <w:tcW w:w="5304" w:type="dxa"/>
            <w:vAlign w:val="center"/>
          </w:tcPr>
          <w:p w14:paraId="5A680220">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pacing w:val="9"/>
                <w:sz w:val="18"/>
                <w:szCs w:val="18"/>
              </w:rPr>
            </w:pPr>
            <w:r>
              <w:rPr>
                <w:rStyle w:val="19"/>
                <w:rFonts w:hint="default"/>
              </w:rPr>
              <w:t>经济带动</w:t>
            </w:r>
          </w:p>
        </w:tc>
      </w:tr>
      <w:tr w14:paraId="438A4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vAlign w:val="bottom"/>
          </w:tcPr>
          <w:p w14:paraId="7AC78FB5">
            <w:pPr>
              <w:ind w:firstLine="360"/>
              <w:jc w:val="center"/>
              <w:rPr>
                <w:rFonts w:ascii="宋体" w:hAnsi="宋体" w:eastAsiaTheme="minorEastAsia" w:cstheme="minorEastAsia"/>
                <w:sz w:val="18"/>
                <w:szCs w:val="18"/>
              </w:rPr>
            </w:pPr>
          </w:p>
        </w:tc>
        <w:tc>
          <w:tcPr>
            <w:tcW w:w="2100" w:type="dxa"/>
            <w:vAlign w:val="center"/>
          </w:tcPr>
          <w:p w14:paraId="3410979D">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pacing w:val="9"/>
                <w:sz w:val="18"/>
                <w:szCs w:val="18"/>
              </w:rPr>
            </w:pPr>
            <w:r>
              <w:rPr>
                <w:rStyle w:val="19"/>
                <w:rFonts w:hint="default"/>
              </w:rPr>
              <w:t>生态效益</w:t>
            </w:r>
          </w:p>
        </w:tc>
        <w:tc>
          <w:tcPr>
            <w:tcW w:w="5304" w:type="dxa"/>
            <w:vAlign w:val="center"/>
          </w:tcPr>
          <w:p w14:paraId="216DC9CF">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pacing w:val="9"/>
                <w:sz w:val="18"/>
                <w:szCs w:val="18"/>
              </w:rPr>
            </w:pPr>
            <w:r>
              <w:rPr>
                <w:rStyle w:val="19"/>
                <w:rFonts w:hint="default"/>
              </w:rPr>
              <w:t>生态环保</w:t>
            </w:r>
          </w:p>
        </w:tc>
      </w:tr>
      <w:tr w14:paraId="05E6A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vAlign w:val="bottom"/>
          </w:tcPr>
          <w:p w14:paraId="5EE6721E">
            <w:pPr>
              <w:ind w:firstLine="360"/>
              <w:jc w:val="center"/>
              <w:rPr>
                <w:rFonts w:ascii="宋体" w:hAnsi="宋体" w:eastAsiaTheme="minorEastAsia" w:cstheme="minorEastAsia"/>
                <w:sz w:val="18"/>
                <w:szCs w:val="18"/>
              </w:rPr>
            </w:pPr>
          </w:p>
        </w:tc>
        <w:tc>
          <w:tcPr>
            <w:tcW w:w="2100" w:type="dxa"/>
            <w:vAlign w:val="center"/>
          </w:tcPr>
          <w:p w14:paraId="5FA438EB">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pacing w:val="9"/>
                <w:sz w:val="18"/>
                <w:szCs w:val="18"/>
              </w:rPr>
            </w:pPr>
            <w:r>
              <w:rPr>
                <w:rStyle w:val="19"/>
                <w:rFonts w:hint="default"/>
              </w:rPr>
              <w:t>可持续影响</w:t>
            </w:r>
          </w:p>
        </w:tc>
        <w:tc>
          <w:tcPr>
            <w:tcW w:w="5304" w:type="dxa"/>
            <w:vAlign w:val="center"/>
          </w:tcPr>
          <w:p w14:paraId="45438558">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pacing w:val="9"/>
                <w:sz w:val="18"/>
                <w:szCs w:val="18"/>
              </w:rPr>
            </w:pPr>
            <w:r>
              <w:rPr>
                <w:rStyle w:val="19"/>
                <w:rFonts w:hint="default"/>
              </w:rPr>
              <w:t>可持续运营能力</w:t>
            </w:r>
          </w:p>
        </w:tc>
      </w:tr>
      <w:tr w14:paraId="406BC2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458" w:type="dxa"/>
            <w:vMerge w:val="continue"/>
            <w:vAlign w:val="bottom"/>
          </w:tcPr>
          <w:p w14:paraId="1110CED6">
            <w:pPr>
              <w:ind w:firstLine="360"/>
              <w:jc w:val="center"/>
              <w:rPr>
                <w:rFonts w:ascii="宋体" w:hAnsi="宋体" w:eastAsiaTheme="minorEastAsia" w:cstheme="minorEastAsia"/>
                <w:sz w:val="18"/>
                <w:szCs w:val="18"/>
              </w:rPr>
            </w:pPr>
          </w:p>
        </w:tc>
        <w:tc>
          <w:tcPr>
            <w:tcW w:w="2100" w:type="dxa"/>
            <w:vAlign w:val="center"/>
          </w:tcPr>
          <w:p w14:paraId="619D7B85">
            <w:pPr>
              <w:keepNext w:val="0"/>
              <w:keepLines w:val="0"/>
              <w:pageBreakBefore w:val="0"/>
              <w:kinsoku w:val="0"/>
              <w:wordWrap/>
              <w:overflowPunct/>
              <w:topLinePunct w:val="0"/>
              <w:autoSpaceDE w:val="0"/>
              <w:autoSpaceDN w:val="0"/>
              <w:bidi w:val="0"/>
              <w:adjustRightInd w:val="0"/>
              <w:snapToGrid w:val="0"/>
              <w:spacing w:line="240" w:lineRule="auto"/>
              <w:ind w:firstLine="0" w:firstLineChars="0"/>
              <w:jc w:val="center"/>
              <w:textAlignment w:val="bottom"/>
              <w:rPr>
                <w:rFonts w:ascii="宋体" w:hAnsi="宋体" w:eastAsiaTheme="minorEastAsia" w:cstheme="minorEastAsia"/>
                <w:spacing w:val="9"/>
                <w:sz w:val="18"/>
                <w:szCs w:val="18"/>
              </w:rPr>
            </w:pPr>
            <w:r>
              <w:rPr>
                <w:rStyle w:val="19"/>
                <w:rFonts w:hint="default"/>
              </w:rPr>
              <w:t>满意度</w:t>
            </w:r>
          </w:p>
        </w:tc>
        <w:tc>
          <w:tcPr>
            <w:tcW w:w="5304" w:type="dxa"/>
            <w:vAlign w:val="center"/>
          </w:tcPr>
          <w:p w14:paraId="2322AF1F">
            <w:pPr>
              <w:keepNext w:val="0"/>
              <w:keepLines w:val="0"/>
              <w:pageBreakBefore w:val="0"/>
              <w:kinsoku w:val="0"/>
              <w:wordWrap/>
              <w:overflowPunct/>
              <w:topLinePunct w:val="0"/>
              <w:autoSpaceDE w:val="0"/>
              <w:autoSpaceDN w:val="0"/>
              <w:bidi w:val="0"/>
              <w:adjustRightInd w:val="0"/>
              <w:snapToGrid w:val="0"/>
              <w:spacing w:line="240" w:lineRule="auto"/>
              <w:ind w:left="300" w:leftChars="100" w:firstLine="0" w:firstLineChars="0"/>
              <w:jc w:val="center"/>
              <w:textAlignment w:val="bottom"/>
              <w:rPr>
                <w:rFonts w:ascii="宋体" w:hAnsi="宋体" w:eastAsiaTheme="minorEastAsia" w:cstheme="minorEastAsia"/>
                <w:spacing w:val="9"/>
                <w:sz w:val="18"/>
                <w:szCs w:val="18"/>
              </w:rPr>
            </w:pPr>
            <w:r>
              <w:rPr>
                <w:rStyle w:val="19"/>
                <w:rFonts w:hint="default"/>
              </w:rPr>
              <w:t>受益对象满意度</w:t>
            </w:r>
          </w:p>
        </w:tc>
      </w:tr>
    </w:tbl>
    <w:p w14:paraId="09551FC8">
      <w:pPr>
        <w:pStyle w:val="4"/>
        <w:pageBreakBefore w:val="0"/>
        <w:kinsoku w:val="0"/>
        <w:wordWrap/>
        <w:overflowPunct/>
        <w:topLinePunct w:val="0"/>
        <w:autoSpaceDE w:val="0"/>
        <w:autoSpaceDN w:val="0"/>
        <w:bidi w:val="0"/>
        <w:adjustRightInd w:val="0"/>
        <w:snapToGrid w:val="0"/>
        <w:spacing w:beforeLines="50" w:line="600" w:lineRule="exact"/>
        <w:ind w:firstLine="600"/>
        <w:textAlignment w:val="baseline"/>
        <w:rPr>
          <w:rFonts w:ascii="宋体" w:hAnsi="宋体"/>
        </w:rPr>
      </w:pPr>
      <w:bookmarkStart w:id="67" w:name="_Toc11354"/>
      <w:bookmarkStart w:id="68" w:name="_Toc2869"/>
      <w:bookmarkStart w:id="69" w:name="_Toc19300"/>
      <w:r>
        <w:rPr>
          <w:rFonts w:hint="eastAsia" w:ascii="宋体" w:hAnsi="宋体"/>
        </w:rPr>
        <w:t>2.评价方法</w:t>
      </w:r>
      <w:bookmarkEnd w:id="67"/>
      <w:bookmarkEnd w:id="68"/>
      <w:bookmarkEnd w:id="69"/>
    </w:p>
    <w:p w14:paraId="56C081AC">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bCs/>
          <w:spacing w:val="-8"/>
          <w:szCs w:val="30"/>
        </w:rPr>
      </w:pPr>
      <w:r>
        <w:rPr>
          <w:rFonts w:hint="eastAsia" w:ascii="宋体" w:hAnsi="宋体" w:cs="仿宋_GB2312"/>
          <w:bCs/>
          <w:spacing w:val="-8"/>
          <w:szCs w:val="30"/>
        </w:rPr>
        <w:t>本次绩效评价遵循“客观、公正、科学、规范”的原则，结合项目特点，采取询问查证、实地察看、问卷调查和专家评议相结合的方法开展评价工作，定性与定量相结合，从项目决策、项目管理、项目产出、项目效益4个方面对本项目开展绩效评价。</w:t>
      </w:r>
    </w:p>
    <w:p w14:paraId="0E24BFFF">
      <w:pPr>
        <w:pStyle w:val="4"/>
        <w:pageBreakBefore w:val="0"/>
        <w:kinsoku w:val="0"/>
        <w:wordWrap/>
        <w:overflowPunct/>
        <w:topLinePunct w:val="0"/>
        <w:autoSpaceDE w:val="0"/>
        <w:autoSpaceDN w:val="0"/>
        <w:bidi w:val="0"/>
        <w:adjustRightInd w:val="0"/>
        <w:snapToGrid w:val="0"/>
        <w:spacing w:line="600" w:lineRule="exact"/>
        <w:ind w:firstLine="600"/>
        <w:textAlignment w:val="baseline"/>
        <w:rPr>
          <w:rFonts w:ascii="宋体" w:hAnsi="宋体"/>
        </w:rPr>
      </w:pPr>
      <w:bookmarkStart w:id="70" w:name="_Toc15639"/>
      <w:bookmarkStart w:id="71" w:name="_Toc27812"/>
      <w:bookmarkStart w:id="72" w:name="_Toc6786"/>
      <w:r>
        <w:rPr>
          <w:rFonts w:hint="eastAsia" w:ascii="宋体" w:hAnsi="宋体"/>
        </w:rPr>
        <w:t>3.评价标准</w:t>
      </w:r>
      <w:bookmarkEnd w:id="70"/>
      <w:bookmarkEnd w:id="71"/>
      <w:bookmarkEnd w:id="72"/>
    </w:p>
    <w:p w14:paraId="1041DB05">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bCs/>
          <w:spacing w:val="-8"/>
          <w:szCs w:val="30"/>
        </w:rPr>
      </w:pPr>
      <w:r>
        <w:rPr>
          <w:rFonts w:hint="eastAsia" w:ascii="宋体" w:hAnsi="宋体" w:cs="仿宋_GB2312"/>
          <w:bCs/>
          <w:spacing w:val="-8"/>
          <w:szCs w:val="30"/>
        </w:rPr>
        <w:t>本次评价采用的评价标准主要有计划标准、行业标准和其他标准。将《地方政府专项债券项目资金绩效管理办法》（财预【2021】61号）、《吉林省地方政府专项债券项目绩效评价管理办法（试行）》（吉财债【2021】1044号）等提出的工作目标、资金拨付指标文件、资金分配方案、可行性研究报告、绩效目标表等作为计划评价标准；将《建材工业建设项目经济评价方法与参数》《建筑地基基础工程施工量验收规范》等作为行业评价标准，将与长春宽城经济开发区管理委员会商议出的标准作为其他评价标准。</w:t>
      </w:r>
    </w:p>
    <w:p w14:paraId="46491DAF">
      <w:pPr>
        <w:pStyle w:val="3"/>
        <w:pageBreakBefore w:val="0"/>
        <w:kinsoku w:val="0"/>
        <w:wordWrap/>
        <w:overflowPunct/>
        <w:topLinePunct w:val="0"/>
        <w:autoSpaceDE w:val="0"/>
        <w:autoSpaceDN w:val="0"/>
        <w:bidi w:val="0"/>
        <w:adjustRightInd w:val="0"/>
        <w:snapToGrid w:val="0"/>
        <w:spacing w:line="600" w:lineRule="exact"/>
        <w:ind w:firstLine="602"/>
        <w:textAlignment w:val="baseline"/>
        <w:rPr>
          <w:rFonts w:ascii="宋体" w:hAnsi="宋体"/>
        </w:rPr>
      </w:pPr>
      <w:bookmarkStart w:id="73" w:name="_bookmark7"/>
      <w:bookmarkEnd w:id="73"/>
      <w:bookmarkStart w:id="74" w:name="_Toc25902"/>
      <w:r>
        <w:rPr>
          <w:rFonts w:hint="eastAsia" w:ascii="宋体" w:hAnsi="宋体"/>
        </w:rPr>
        <w:t>（五）绩效评价工作过程</w:t>
      </w:r>
      <w:bookmarkEnd w:id="74"/>
    </w:p>
    <w:p w14:paraId="4E26C9AB">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前期资料收集及调研，收集查找有关项目的法律法规和相关制度；相关行业政策、行业标准及专业技术规范；预算管理制度、专项债券资金及财务管理办法、专项债券资金拨付文件等资料，对项目情况进行初步了解。</w:t>
      </w:r>
    </w:p>
    <w:p w14:paraId="6673B210">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根据项目内容和特征制定评价指标体系、评价标准及评价实施方案，确定所需材料清单和访谈问卷，形成绩效评价工作方案初稿。组成项目小组进行组内讨论，多轮修改及校对。根据专家老师的指导完善工作方案，确定最终的绩效评价方案。</w:t>
      </w:r>
    </w:p>
    <w:p w14:paraId="688CBABC">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202</w:t>
      </w:r>
      <w:r>
        <w:rPr>
          <w:rFonts w:hint="eastAsia" w:ascii="宋体" w:hAnsi="宋体" w:cs="仿宋_GB2312"/>
          <w:spacing w:val="-8"/>
          <w:szCs w:val="30"/>
          <w:lang w:val="en-US" w:eastAsia="zh-CN"/>
        </w:rPr>
        <w:t>5</w:t>
      </w:r>
      <w:r>
        <w:rPr>
          <w:rFonts w:hint="eastAsia" w:ascii="宋体" w:hAnsi="宋体" w:cs="仿宋_GB2312"/>
          <w:spacing w:val="-8"/>
          <w:szCs w:val="30"/>
        </w:rPr>
        <w:t>年5月，评价组开始调研工作，评价组先后对长春宽城经济开发区管理委员会、长春市宽城区中医院进行现场调研。主要听取被评价单位与评价项目的目标设定及完成情况，组织管理制度健全及落实情况，专项资金执行情况，财务管理状况，和项目产生的效益效果情况介绍。了解项目实施等情况并收集所需资料，对收集的资料进行查看，核实其真实性。</w:t>
      </w:r>
    </w:p>
    <w:p w14:paraId="585A31AD">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评价组按照绩效评价原则和规范，对取得的资料与数据进行客观分析，按照绩效评价指标体系逐一打分，并撰写绩效评价报告，完成初稿后，征求被评价单位意见，根据反馈的有效意见对评价报告进行修改，并按照规定的时间提交给长春宽城经济开发区管理委员会审核。</w:t>
      </w:r>
    </w:p>
    <w:p w14:paraId="71A6B813">
      <w:pPr>
        <w:pStyle w:val="2"/>
        <w:pageBreakBefore w:val="0"/>
        <w:kinsoku w:val="0"/>
        <w:wordWrap/>
        <w:overflowPunct/>
        <w:topLinePunct w:val="0"/>
        <w:autoSpaceDE w:val="0"/>
        <w:autoSpaceDN w:val="0"/>
        <w:bidi w:val="0"/>
        <w:adjustRightInd w:val="0"/>
        <w:snapToGrid w:val="0"/>
        <w:spacing w:line="600" w:lineRule="exact"/>
        <w:ind w:firstLine="602"/>
        <w:textAlignment w:val="baseline"/>
        <w:rPr>
          <w:rFonts w:ascii="宋体" w:hAnsi="宋体"/>
        </w:rPr>
      </w:pPr>
      <w:bookmarkStart w:id="75" w:name="_bookmark8"/>
      <w:bookmarkEnd w:id="75"/>
      <w:bookmarkStart w:id="76" w:name="_Toc12998"/>
      <w:r>
        <w:rPr>
          <w:rFonts w:hint="eastAsia" w:ascii="宋体" w:hAnsi="宋体"/>
        </w:rPr>
        <w:t>三、综合评价情况及评价结论</w:t>
      </w:r>
      <w:bookmarkEnd w:id="76"/>
    </w:p>
    <w:p w14:paraId="7A541B9B">
      <w:pPr>
        <w:pageBreakBefore w:val="0"/>
        <w:widowControl w:val="0"/>
        <w:kinsoku w:val="0"/>
        <w:wordWrap/>
        <w:overflowPunct/>
        <w:topLinePunct w:val="0"/>
        <w:autoSpaceDE w:val="0"/>
        <w:autoSpaceDN w:val="0"/>
        <w:bidi w:val="0"/>
        <w:adjustRightInd w:val="0"/>
        <w:snapToGrid w:val="0"/>
        <w:spacing w:line="600" w:lineRule="exact"/>
        <w:ind w:firstLine="584"/>
        <w:textAlignment w:val="baseline"/>
        <w:rPr>
          <w:rFonts w:ascii="宋体" w:hAnsi="宋体" w:cs="仿宋_GB2312"/>
          <w:spacing w:val="-8"/>
          <w:szCs w:val="30"/>
        </w:rPr>
      </w:pPr>
      <w:r>
        <w:rPr>
          <w:rFonts w:hint="eastAsia" w:ascii="宋体" w:hAnsi="宋体" w:cs="仿宋_GB2312"/>
          <w:spacing w:val="-8"/>
          <w:szCs w:val="30"/>
        </w:rPr>
        <w:t>该项目</w:t>
      </w:r>
      <w:r>
        <w:rPr>
          <w:rFonts w:hint="eastAsia" w:ascii="宋体" w:hAnsi="宋体" w:cs="仿宋_GB2312"/>
          <w:spacing w:val="-8"/>
          <w:szCs w:val="30"/>
          <w:highlight w:val="none"/>
        </w:rPr>
        <w:t>绩效评价得分为</w:t>
      </w:r>
      <w:r>
        <w:rPr>
          <w:rFonts w:hint="eastAsia" w:ascii="宋体" w:hAnsi="宋体" w:cs="仿宋_GB2312"/>
          <w:spacing w:val="-8"/>
          <w:szCs w:val="30"/>
          <w:highlight w:val="none"/>
          <w:lang w:val="en-US" w:eastAsia="zh-CN"/>
        </w:rPr>
        <w:t>88</w:t>
      </w:r>
      <w:r>
        <w:rPr>
          <w:rFonts w:hint="eastAsia" w:ascii="宋体" w:hAnsi="宋体" w:cs="仿宋_GB2312"/>
          <w:spacing w:val="-8"/>
          <w:szCs w:val="30"/>
          <w:highlight w:val="none"/>
        </w:rPr>
        <w:t>分，根据《吉林省地方政府专项债券项目资金绩效管理办法（试行）》（吉财债〔2021〕1044号），本项目综合评分分级为“良”，评价等级为“良”。绩效评价得分汇总如表2所示，该项目综合评价情况如下：</w:t>
      </w:r>
    </w:p>
    <w:p w14:paraId="57ED3D55">
      <w:pPr>
        <w:pageBreakBefore w:val="0"/>
        <w:widowControl w:val="0"/>
        <w:kinsoku w:val="0"/>
        <w:wordWrap/>
        <w:overflowPunct/>
        <w:topLinePunct w:val="0"/>
        <w:autoSpaceDE w:val="0"/>
        <w:autoSpaceDN w:val="0"/>
        <w:bidi w:val="0"/>
        <w:adjustRightInd w:val="0"/>
        <w:snapToGrid w:val="0"/>
        <w:spacing w:line="600" w:lineRule="exact"/>
        <w:ind w:firstLine="586"/>
        <w:textAlignment w:val="baseline"/>
        <w:rPr>
          <w:rFonts w:ascii="宋体" w:hAnsi="宋体" w:cs="仿宋_GB2312"/>
          <w:spacing w:val="-8"/>
          <w:szCs w:val="30"/>
          <w:highlight w:val="none"/>
        </w:rPr>
      </w:pPr>
      <w:r>
        <w:rPr>
          <w:rFonts w:hint="eastAsia" w:ascii="宋体" w:hAnsi="宋体" w:cs="仿宋_GB2312"/>
          <w:b/>
          <w:bCs/>
          <w:spacing w:val="-8"/>
          <w:szCs w:val="30"/>
          <w:highlight w:val="none"/>
        </w:rPr>
        <w:t>决策方面</w:t>
      </w:r>
      <w:r>
        <w:rPr>
          <w:rFonts w:hint="eastAsia" w:ascii="宋体" w:hAnsi="宋体" w:cs="仿宋_GB2312"/>
          <w:spacing w:val="-8"/>
          <w:szCs w:val="30"/>
          <w:highlight w:val="none"/>
        </w:rPr>
        <w:t>，长春市宽城区卫生综合体建设项目实施过程中，能够做到立项与管理基本规范，项目基本完成；立项依据基本充分，立项程序规范。</w:t>
      </w:r>
    </w:p>
    <w:p w14:paraId="07819BAF">
      <w:pPr>
        <w:pageBreakBefore w:val="0"/>
        <w:widowControl w:val="0"/>
        <w:kinsoku w:val="0"/>
        <w:wordWrap/>
        <w:overflowPunct/>
        <w:topLinePunct w:val="0"/>
        <w:autoSpaceDE w:val="0"/>
        <w:autoSpaceDN w:val="0"/>
        <w:bidi w:val="0"/>
        <w:adjustRightInd w:val="0"/>
        <w:snapToGrid w:val="0"/>
        <w:spacing w:line="600" w:lineRule="exact"/>
        <w:ind w:firstLine="586"/>
        <w:textAlignment w:val="baseline"/>
        <w:rPr>
          <w:rFonts w:ascii="宋体" w:hAnsi="宋体" w:cs="仿宋_GB2312"/>
          <w:spacing w:val="-8"/>
          <w:szCs w:val="30"/>
          <w:highlight w:val="none"/>
        </w:rPr>
      </w:pPr>
      <w:r>
        <w:rPr>
          <w:rFonts w:hint="eastAsia" w:ascii="宋体" w:hAnsi="宋体" w:cs="仿宋_GB2312"/>
          <w:b/>
          <w:bCs/>
          <w:spacing w:val="-8"/>
          <w:szCs w:val="30"/>
          <w:highlight w:val="none"/>
        </w:rPr>
        <w:t>管理方面</w:t>
      </w:r>
      <w:r>
        <w:rPr>
          <w:rFonts w:hint="eastAsia" w:ascii="宋体" w:hAnsi="宋体" w:cs="仿宋_GB2312"/>
          <w:spacing w:val="-8"/>
          <w:szCs w:val="30"/>
          <w:highlight w:val="none"/>
        </w:rPr>
        <w:t>，资金使用合规，基本符合国家财经法规和财务管理制度以及有关专项资金管理办法的规定，在合同签订等流程中不够严谨，资金拨付的审批程序和手续完整；项目前期资料准备充分并取得批复，管理制度基本健全，项目合同书等资料齐全并归档管理。</w:t>
      </w:r>
    </w:p>
    <w:p w14:paraId="4A0842FA">
      <w:pPr>
        <w:pageBreakBefore w:val="0"/>
        <w:widowControl w:val="0"/>
        <w:kinsoku w:val="0"/>
        <w:wordWrap/>
        <w:overflowPunct/>
        <w:topLinePunct w:val="0"/>
        <w:autoSpaceDE w:val="0"/>
        <w:autoSpaceDN w:val="0"/>
        <w:bidi w:val="0"/>
        <w:adjustRightInd w:val="0"/>
        <w:snapToGrid w:val="0"/>
        <w:spacing w:line="600" w:lineRule="exact"/>
        <w:ind w:firstLine="586"/>
        <w:textAlignment w:val="baseline"/>
        <w:rPr>
          <w:rFonts w:ascii="宋体" w:hAnsi="宋体" w:cs="仿宋_GB2312"/>
          <w:spacing w:val="-8"/>
          <w:szCs w:val="30"/>
          <w:highlight w:val="none"/>
        </w:rPr>
      </w:pPr>
      <w:r>
        <w:rPr>
          <w:rFonts w:hint="eastAsia" w:ascii="宋体" w:hAnsi="宋体" w:cs="仿宋_GB2312"/>
          <w:b/>
          <w:bCs/>
          <w:spacing w:val="-8"/>
          <w:szCs w:val="30"/>
          <w:highlight w:val="none"/>
        </w:rPr>
        <w:t>产出方面</w:t>
      </w:r>
      <w:r>
        <w:rPr>
          <w:rFonts w:hint="eastAsia" w:ascii="宋体" w:hAnsi="宋体" w:cs="仿宋_GB2312"/>
          <w:spacing w:val="-8"/>
          <w:szCs w:val="30"/>
          <w:highlight w:val="none"/>
        </w:rPr>
        <w:t>，项目未按时开工，施工主体工程按照</w:t>
      </w:r>
      <w:r>
        <w:rPr>
          <w:rFonts w:hint="eastAsia" w:ascii="宋体" w:hAnsi="宋体" w:cs="仿宋_GB2312"/>
          <w:spacing w:val="-8"/>
          <w:szCs w:val="30"/>
          <w:highlight w:val="none"/>
          <w:lang w:val="en-US" w:eastAsia="zh-CN"/>
        </w:rPr>
        <w:t>未按照</w:t>
      </w:r>
      <w:r>
        <w:rPr>
          <w:rFonts w:hint="eastAsia" w:ascii="宋体" w:hAnsi="宋体" w:cs="仿宋_GB2312"/>
          <w:spacing w:val="-8"/>
          <w:szCs w:val="30"/>
          <w:highlight w:val="none"/>
        </w:rPr>
        <w:t>计划工期</w:t>
      </w:r>
      <w:r>
        <w:rPr>
          <w:rFonts w:hint="eastAsia" w:ascii="宋体" w:hAnsi="宋体" w:cs="仿宋_GB2312"/>
          <w:spacing w:val="-8"/>
          <w:szCs w:val="30"/>
          <w:highlight w:val="none"/>
          <w:lang w:val="en-US" w:eastAsia="zh-CN"/>
        </w:rPr>
        <w:t>完工，未取得延期批复文件</w:t>
      </w:r>
      <w:r>
        <w:rPr>
          <w:rFonts w:hint="eastAsia" w:ascii="宋体" w:hAnsi="宋体" w:cs="仿宋_GB2312"/>
          <w:spacing w:val="-8"/>
          <w:szCs w:val="30"/>
          <w:highlight w:val="none"/>
        </w:rPr>
        <w:t>，在支付工程款时未严格按照计量文件拨付，成本控制方面有待提高，工程质量方面得到较好保障。</w:t>
      </w:r>
    </w:p>
    <w:p w14:paraId="7F6BB22C">
      <w:pPr>
        <w:pageBreakBefore w:val="0"/>
        <w:widowControl w:val="0"/>
        <w:kinsoku w:val="0"/>
        <w:wordWrap/>
        <w:overflowPunct/>
        <w:topLinePunct w:val="0"/>
        <w:autoSpaceDE w:val="0"/>
        <w:autoSpaceDN w:val="0"/>
        <w:bidi w:val="0"/>
        <w:adjustRightInd w:val="0"/>
        <w:snapToGrid w:val="0"/>
        <w:spacing w:line="600" w:lineRule="exact"/>
        <w:ind w:firstLine="586"/>
        <w:textAlignment w:val="baseline"/>
        <w:rPr>
          <w:rFonts w:hint="eastAsia" w:ascii="宋体" w:hAnsi="宋体" w:cs="仿宋_GB2312"/>
          <w:spacing w:val="-8"/>
          <w:szCs w:val="30"/>
          <w:highlight w:val="none"/>
        </w:rPr>
      </w:pPr>
      <w:r>
        <w:rPr>
          <w:rFonts w:hint="eastAsia" w:ascii="宋体" w:hAnsi="宋体" w:cs="仿宋_GB2312"/>
          <w:b/>
          <w:bCs/>
          <w:spacing w:val="-8"/>
          <w:szCs w:val="30"/>
          <w:highlight w:val="none"/>
        </w:rPr>
        <w:t>效益方面</w:t>
      </w:r>
      <w:r>
        <w:rPr>
          <w:rFonts w:hint="eastAsia" w:ascii="宋体" w:hAnsi="宋体" w:cs="仿宋_GB2312"/>
          <w:spacing w:val="-8"/>
          <w:szCs w:val="30"/>
          <w:highlight w:val="none"/>
        </w:rPr>
        <w:t>，该项目的建设可以改善区域医疗环境和布局，满足医疗卫生事业发展的需要；可以保障人们身体健康，促进病人就医及治疗条件，完善医疗卫生服务质量及服务水平。</w:t>
      </w:r>
    </w:p>
    <w:p w14:paraId="47CF9DC6">
      <w:pPr>
        <w:pageBreakBefore w:val="0"/>
        <w:widowControl w:val="0"/>
        <w:kinsoku w:val="0"/>
        <w:wordWrap/>
        <w:overflowPunct/>
        <w:topLinePunct w:val="0"/>
        <w:autoSpaceDE w:val="0"/>
        <w:autoSpaceDN w:val="0"/>
        <w:bidi w:val="0"/>
        <w:adjustRightInd w:val="0"/>
        <w:snapToGrid w:val="0"/>
        <w:spacing w:line="600" w:lineRule="exact"/>
        <w:ind w:firstLine="586"/>
        <w:textAlignment w:val="baseline"/>
        <w:rPr>
          <w:rFonts w:hint="eastAsia" w:ascii="宋体" w:hAnsi="宋体" w:cs="仿宋_GB2312"/>
          <w:spacing w:val="-8"/>
          <w:szCs w:val="30"/>
          <w:highlight w:val="none"/>
        </w:rPr>
      </w:pPr>
    </w:p>
    <w:tbl>
      <w:tblPr>
        <w:tblStyle w:val="14"/>
        <w:tblW w:w="8285"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8"/>
        <w:gridCol w:w="2272"/>
        <w:gridCol w:w="2037"/>
        <w:gridCol w:w="2188"/>
      </w:tblGrid>
      <w:tr w14:paraId="41EF4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8285" w:type="dxa"/>
            <w:gridSpan w:val="4"/>
            <w:tcBorders>
              <w:top w:val="nil"/>
              <w:left w:val="nil"/>
              <w:bottom w:val="single" w:color="auto" w:sz="4" w:space="0"/>
              <w:right w:val="nil"/>
            </w:tcBorders>
            <w:vAlign w:val="center"/>
          </w:tcPr>
          <w:p w14:paraId="6DB50E73">
            <w:pPr>
              <w:widowControl w:val="0"/>
              <w:spacing w:line="240" w:lineRule="exact"/>
              <w:ind w:firstLine="0" w:firstLineChars="0"/>
              <w:jc w:val="center"/>
              <w:rPr>
                <w:rFonts w:ascii="宋体" w:hAnsi="宋体" w:eastAsiaTheme="minorEastAsia" w:cstheme="minorEastAsia"/>
                <w:b/>
                <w:bCs/>
                <w:spacing w:val="6"/>
                <w:sz w:val="18"/>
                <w:szCs w:val="18"/>
                <w:highlight w:val="none"/>
              </w:rPr>
            </w:pPr>
            <w:r>
              <w:rPr>
                <w:rFonts w:hint="eastAsia" w:ascii="宋体" w:hAnsi="宋体" w:eastAsiaTheme="minorEastAsia" w:cstheme="minorEastAsia"/>
                <w:b/>
                <w:bCs/>
                <w:spacing w:val="-10"/>
                <w:sz w:val="18"/>
                <w:szCs w:val="18"/>
                <w:highlight w:val="none"/>
              </w:rPr>
              <w:t>表</w:t>
            </w:r>
            <w:r>
              <w:rPr>
                <w:rFonts w:hint="eastAsia" w:ascii="宋体" w:hAnsi="宋体" w:eastAsiaTheme="minorEastAsia" w:cstheme="minorEastAsia"/>
                <w:b/>
                <w:bCs/>
                <w:spacing w:val="-6"/>
                <w:sz w:val="18"/>
                <w:szCs w:val="18"/>
                <w:highlight w:val="none"/>
              </w:rPr>
              <w:t>2：绩效评价得分汇总表（详见附件1)</w:t>
            </w:r>
          </w:p>
        </w:tc>
      </w:tr>
      <w:tr w14:paraId="16DDE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1788" w:type="dxa"/>
            <w:tcBorders>
              <w:top w:val="single" w:color="auto" w:sz="4" w:space="0"/>
            </w:tcBorders>
            <w:vAlign w:val="center"/>
          </w:tcPr>
          <w:p w14:paraId="0C39B3F4">
            <w:pPr>
              <w:widowControl w:val="0"/>
              <w:spacing w:line="240" w:lineRule="exact"/>
              <w:ind w:firstLine="0" w:firstLineChars="0"/>
              <w:jc w:val="center"/>
              <w:rPr>
                <w:rFonts w:ascii="宋体" w:hAnsi="宋体" w:eastAsiaTheme="minorEastAsia" w:cstheme="minorEastAsia"/>
                <w:b/>
                <w:bCs/>
                <w:sz w:val="18"/>
                <w:szCs w:val="18"/>
                <w:highlight w:val="none"/>
              </w:rPr>
            </w:pPr>
            <w:r>
              <w:rPr>
                <w:rFonts w:hint="eastAsia" w:ascii="宋体" w:hAnsi="宋体" w:eastAsiaTheme="minorEastAsia" w:cstheme="minorEastAsia"/>
                <w:b/>
                <w:bCs/>
                <w:spacing w:val="4"/>
                <w:sz w:val="18"/>
                <w:szCs w:val="18"/>
                <w:highlight w:val="none"/>
              </w:rPr>
              <w:t>一级指</w:t>
            </w:r>
            <w:r>
              <w:rPr>
                <w:rFonts w:hint="eastAsia" w:ascii="宋体" w:hAnsi="宋体" w:eastAsiaTheme="minorEastAsia" w:cstheme="minorEastAsia"/>
                <w:b/>
                <w:bCs/>
                <w:spacing w:val="3"/>
                <w:sz w:val="18"/>
                <w:szCs w:val="18"/>
                <w:highlight w:val="none"/>
              </w:rPr>
              <w:t>标</w:t>
            </w:r>
          </w:p>
        </w:tc>
        <w:tc>
          <w:tcPr>
            <w:tcW w:w="2272" w:type="dxa"/>
            <w:tcBorders>
              <w:top w:val="single" w:color="auto" w:sz="4" w:space="0"/>
            </w:tcBorders>
            <w:vAlign w:val="center"/>
          </w:tcPr>
          <w:p w14:paraId="006A368D">
            <w:pPr>
              <w:widowControl w:val="0"/>
              <w:spacing w:line="240" w:lineRule="exact"/>
              <w:ind w:firstLine="0" w:firstLineChars="0"/>
              <w:jc w:val="center"/>
              <w:rPr>
                <w:rFonts w:ascii="宋体" w:hAnsi="宋体" w:eastAsiaTheme="minorEastAsia" w:cstheme="minorEastAsia"/>
                <w:b/>
                <w:bCs/>
                <w:sz w:val="18"/>
                <w:szCs w:val="18"/>
                <w:highlight w:val="none"/>
              </w:rPr>
            </w:pPr>
            <w:r>
              <w:rPr>
                <w:rFonts w:hint="eastAsia" w:ascii="宋体" w:hAnsi="宋体" w:eastAsiaTheme="minorEastAsia" w:cstheme="minorEastAsia"/>
                <w:b/>
                <w:bCs/>
                <w:spacing w:val="6"/>
                <w:sz w:val="18"/>
                <w:szCs w:val="18"/>
                <w:highlight w:val="none"/>
              </w:rPr>
              <w:t>分</w:t>
            </w:r>
            <w:r>
              <w:rPr>
                <w:rFonts w:hint="eastAsia" w:ascii="宋体" w:hAnsi="宋体" w:eastAsiaTheme="minorEastAsia" w:cstheme="minorEastAsia"/>
                <w:b/>
                <w:bCs/>
                <w:spacing w:val="4"/>
                <w:sz w:val="18"/>
                <w:szCs w:val="18"/>
                <w:highlight w:val="none"/>
              </w:rPr>
              <w:t>值</w:t>
            </w:r>
          </w:p>
        </w:tc>
        <w:tc>
          <w:tcPr>
            <w:tcW w:w="2037" w:type="dxa"/>
            <w:tcBorders>
              <w:top w:val="single" w:color="auto" w:sz="4" w:space="0"/>
            </w:tcBorders>
            <w:vAlign w:val="center"/>
          </w:tcPr>
          <w:p w14:paraId="5EE141F7">
            <w:pPr>
              <w:widowControl w:val="0"/>
              <w:spacing w:line="240" w:lineRule="exact"/>
              <w:ind w:firstLine="0" w:firstLineChars="0"/>
              <w:jc w:val="center"/>
              <w:rPr>
                <w:rFonts w:ascii="宋体" w:hAnsi="宋体" w:eastAsiaTheme="minorEastAsia" w:cstheme="minorEastAsia"/>
                <w:b/>
                <w:bCs/>
                <w:sz w:val="18"/>
                <w:szCs w:val="18"/>
                <w:highlight w:val="none"/>
              </w:rPr>
            </w:pPr>
            <w:r>
              <w:rPr>
                <w:rFonts w:hint="eastAsia" w:ascii="宋体" w:hAnsi="宋体" w:eastAsiaTheme="minorEastAsia" w:cstheme="minorEastAsia"/>
                <w:b/>
                <w:bCs/>
                <w:spacing w:val="6"/>
                <w:sz w:val="18"/>
                <w:szCs w:val="18"/>
                <w:highlight w:val="none"/>
              </w:rPr>
              <w:t>得</w:t>
            </w:r>
            <w:r>
              <w:rPr>
                <w:rFonts w:hint="eastAsia" w:ascii="宋体" w:hAnsi="宋体" w:eastAsiaTheme="minorEastAsia" w:cstheme="minorEastAsia"/>
                <w:b/>
                <w:bCs/>
                <w:spacing w:val="4"/>
                <w:sz w:val="18"/>
                <w:szCs w:val="18"/>
                <w:highlight w:val="none"/>
              </w:rPr>
              <w:t>分</w:t>
            </w:r>
          </w:p>
        </w:tc>
        <w:tc>
          <w:tcPr>
            <w:tcW w:w="2188" w:type="dxa"/>
            <w:tcBorders>
              <w:top w:val="single" w:color="auto" w:sz="4" w:space="0"/>
            </w:tcBorders>
            <w:vAlign w:val="center"/>
          </w:tcPr>
          <w:p w14:paraId="56CD51FA">
            <w:pPr>
              <w:widowControl w:val="0"/>
              <w:spacing w:line="240" w:lineRule="exact"/>
              <w:ind w:firstLine="0" w:firstLineChars="0"/>
              <w:jc w:val="center"/>
              <w:rPr>
                <w:rFonts w:ascii="宋体" w:hAnsi="宋体" w:eastAsiaTheme="minorEastAsia" w:cstheme="minorEastAsia"/>
                <w:b/>
                <w:bCs/>
                <w:sz w:val="18"/>
                <w:szCs w:val="18"/>
                <w:highlight w:val="none"/>
              </w:rPr>
            </w:pPr>
            <w:r>
              <w:rPr>
                <w:rFonts w:hint="eastAsia" w:ascii="宋体" w:hAnsi="宋体" w:eastAsiaTheme="minorEastAsia" w:cstheme="minorEastAsia"/>
                <w:b/>
                <w:bCs/>
                <w:spacing w:val="6"/>
                <w:sz w:val="18"/>
                <w:szCs w:val="18"/>
                <w:highlight w:val="none"/>
              </w:rPr>
              <w:t>得</w:t>
            </w:r>
            <w:r>
              <w:rPr>
                <w:rFonts w:hint="eastAsia" w:ascii="宋体" w:hAnsi="宋体" w:eastAsiaTheme="minorEastAsia" w:cstheme="minorEastAsia"/>
                <w:b/>
                <w:bCs/>
                <w:spacing w:val="5"/>
                <w:sz w:val="18"/>
                <w:szCs w:val="18"/>
                <w:highlight w:val="none"/>
              </w:rPr>
              <w:t>分率</w:t>
            </w:r>
          </w:p>
        </w:tc>
      </w:tr>
      <w:tr w14:paraId="45C5F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1788" w:type="dxa"/>
            <w:vAlign w:val="center"/>
          </w:tcPr>
          <w:p w14:paraId="360A6391">
            <w:pPr>
              <w:widowControl w:val="0"/>
              <w:spacing w:line="240" w:lineRule="exact"/>
              <w:ind w:firstLine="0" w:firstLineChars="0"/>
              <w:jc w:val="center"/>
              <w:rPr>
                <w:rFonts w:ascii="宋体" w:hAnsi="宋体" w:eastAsiaTheme="minorEastAsia" w:cstheme="minorEastAsia"/>
                <w:sz w:val="18"/>
                <w:szCs w:val="18"/>
                <w:highlight w:val="none"/>
              </w:rPr>
            </w:pPr>
            <w:r>
              <w:rPr>
                <w:rFonts w:hint="eastAsia" w:ascii="宋体" w:hAnsi="宋体" w:eastAsiaTheme="minorEastAsia" w:cstheme="minorEastAsia"/>
                <w:spacing w:val="5"/>
                <w:sz w:val="18"/>
                <w:szCs w:val="18"/>
                <w:highlight w:val="none"/>
              </w:rPr>
              <w:t>决</w:t>
            </w:r>
            <w:r>
              <w:rPr>
                <w:rFonts w:hint="eastAsia" w:ascii="宋体" w:hAnsi="宋体" w:eastAsiaTheme="minorEastAsia" w:cstheme="minorEastAsia"/>
                <w:spacing w:val="4"/>
                <w:sz w:val="18"/>
                <w:szCs w:val="18"/>
                <w:highlight w:val="none"/>
              </w:rPr>
              <w:t>策</w:t>
            </w:r>
          </w:p>
        </w:tc>
        <w:tc>
          <w:tcPr>
            <w:tcW w:w="2272" w:type="dxa"/>
            <w:vAlign w:val="bottom"/>
          </w:tcPr>
          <w:p w14:paraId="680B1086">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25</w:t>
            </w:r>
          </w:p>
        </w:tc>
        <w:tc>
          <w:tcPr>
            <w:tcW w:w="2037" w:type="dxa"/>
            <w:vAlign w:val="bottom"/>
          </w:tcPr>
          <w:p w14:paraId="4ED21780">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25</w:t>
            </w:r>
          </w:p>
        </w:tc>
        <w:tc>
          <w:tcPr>
            <w:tcW w:w="2188" w:type="dxa"/>
            <w:vAlign w:val="bottom"/>
          </w:tcPr>
          <w:p w14:paraId="527EA9D4">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100.00%</w:t>
            </w:r>
          </w:p>
        </w:tc>
      </w:tr>
      <w:tr w14:paraId="0F7A4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1788" w:type="dxa"/>
            <w:vAlign w:val="center"/>
          </w:tcPr>
          <w:p w14:paraId="42BA56C2">
            <w:pPr>
              <w:widowControl w:val="0"/>
              <w:spacing w:line="240" w:lineRule="exact"/>
              <w:ind w:firstLine="0" w:firstLineChars="0"/>
              <w:jc w:val="center"/>
              <w:rPr>
                <w:rFonts w:ascii="宋体" w:hAnsi="宋体" w:eastAsiaTheme="minorEastAsia" w:cstheme="minorEastAsia"/>
                <w:sz w:val="18"/>
                <w:szCs w:val="18"/>
                <w:highlight w:val="none"/>
              </w:rPr>
            </w:pPr>
            <w:r>
              <w:rPr>
                <w:rFonts w:hint="eastAsia" w:ascii="宋体" w:hAnsi="宋体" w:eastAsiaTheme="minorEastAsia" w:cstheme="minorEastAsia"/>
                <w:spacing w:val="4"/>
                <w:sz w:val="18"/>
                <w:szCs w:val="18"/>
                <w:highlight w:val="none"/>
              </w:rPr>
              <w:t>管理</w:t>
            </w:r>
          </w:p>
        </w:tc>
        <w:tc>
          <w:tcPr>
            <w:tcW w:w="2272" w:type="dxa"/>
            <w:vAlign w:val="bottom"/>
          </w:tcPr>
          <w:p w14:paraId="77137EC3">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20</w:t>
            </w:r>
          </w:p>
        </w:tc>
        <w:tc>
          <w:tcPr>
            <w:tcW w:w="2037" w:type="dxa"/>
            <w:vAlign w:val="bottom"/>
          </w:tcPr>
          <w:p w14:paraId="1C7B1E36">
            <w:pPr>
              <w:keepNext w:val="0"/>
              <w:keepLines w:val="0"/>
              <w:widowControl/>
              <w:suppressLineNumbers w:val="0"/>
              <w:ind w:firstLine="360" w:firstLineChars="200"/>
              <w:jc w:val="center"/>
              <w:textAlignment w:val="bottom"/>
              <w:rPr>
                <w:rFonts w:hint="eastAsia" w:ascii="宋体" w:hAnsi="宋体" w:eastAsiaTheme="minorEastAsia" w:cstheme="minorEastAsia"/>
                <w:sz w:val="18"/>
                <w:szCs w:val="18"/>
                <w:highlight w:val="none"/>
                <w:lang w:eastAsia="zh-CN"/>
              </w:rPr>
            </w:pPr>
            <w:r>
              <w:rPr>
                <w:rFonts w:hint="eastAsia" w:ascii="宋体" w:hAnsi="宋体" w:eastAsia="宋体" w:cs="宋体"/>
                <w:i w:val="0"/>
                <w:iCs w:val="0"/>
                <w:snapToGrid w:val="0"/>
                <w:color w:val="000000"/>
                <w:kern w:val="0"/>
                <w:sz w:val="18"/>
                <w:szCs w:val="18"/>
                <w:highlight w:val="none"/>
                <w:u w:val="none"/>
                <w:lang w:val="en-US" w:eastAsia="zh-CN" w:bidi="ar"/>
              </w:rPr>
              <w:t>17</w:t>
            </w:r>
          </w:p>
        </w:tc>
        <w:tc>
          <w:tcPr>
            <w:tcW w:w="2188" w:type="dxa"/>
            <w:vAlign w:val="bottom"/>
          </w:tcPr>
          <w:p w14:paraId="1703D0A4">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85.00%</w:t>
            </w:r>
          </w:p>
        </w:tc>
      </w:tr>
      <w:tr w14:paraId="4EB4C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1788" w:type="dxa"/>
            <w:vAlign w:val="center"/>
          </w:tcPr>
          <w:p w14:paraId="19D612AD">
            <w:pPr>
              <w:widowControl w:val="0"/>
              <w:spacing w:line="240" w:lineRule="exact"/>
              <w:ind w:firstLine="0" w:firstLineChars="0"/>
              <w:jc w:val="center"/>
              <w:rPr>
                <w:rFonts w:ascii="宋体" w:hAnsi="宋体" w:eastAsiaTheme="minorEastAsia" w:cstheme="minorEastAsia"/>
                <w:sz w:val="18"/>
                <w:szCs w:val="18"/>
                <w:highlight w:val="none"/>
              </w:rPr>
            </w:pPr>
            <w:bookmarkStart w:id="77" w:name="_bookmark17"/>
            <w:bookmarkEnd w:id="77"/>
            <w:bookmarkStart w:id="78" w:name="_bookmark19"/>
            <w:bookmarkEnd w:id="78"/>
            <w:r>
              <w:rPr>
                <w:rFonts w:hint="eastAsia" w:ascii="宋体" w:hAnsi="宋体" w:eastAsiaTheme="minorEastAsia" w:cstheme="minorEastAsia"/>
                <w:spacing w:val="14"/>
                <w:sz w:val="18"/>
                <w:szCs w:val="18"/>
                <w:highlight w:val="none"/>
              </w:rPr>
              <w:t>产</w:t>
            </w:r>
            <w:r>
              <w:rPr>
                <w:rFonts w:hint="eastAsia" w:ascii="宋体" w:hAnsi="宋体" w:eastAsiaTheme="minorEastAsia" w:cstheme="minorEastAsia"/>
                <w:spacing w:val="12"/>
                <w:sz w:val="18"/>
                <w:szCs w:val="18"/>
                <w:highlight w:val="none"/>
              </w:rPr>
              <w:t>出</w:t>
            </w:r>
          </w:p>
        </w:tc>
        <w:tc>
          <w:tcPr>
            <w:tcW w:w="2272" w:type="dxa"/>
            <w:vAlign w:val="bottom"/>
          </w:tcPr>
          <w:p w14:paraId="40D2F6DD">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35</w:t>
            </w:r>
          </w:p>
        </w:tc>
        <w:tc>
          <w:tcPr>
            <w:tcW w:w="2034" w:type="dxa"/>
            <w:vAlign w:val="bottom"/>
          </w:tcPr>
          <w:p w14:paraId="22823A05">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26</w:t>
            </w:r>
          </w:p>
        </w:tc>
        <w:tc>
          <w:tcPr>
            <w:tcW w:w="2188" w:type="dxa"/>
            <w:vAlign w:val="bottom"/>
          </w:tcPr>
          <w:p w14:paraId="53AD9A90">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74.29%</w:t>
            </w:r>
          </w:p>
        </w:tc>
      </w:tr>
      <w:tr w14:paraId="246014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1788" w:type="dxa"/>
            <w:vAlign w:val="center"/>
          </w:tcPr>
          <w:p w14:paraId="17CE72AB">
            <w:pPr>
              <w:widowControl w:val="0"/>
              <w:spacing w:line="240" w:lineRule="exact"/>
              <w:ind w:firstLine="0" w:firstLineChars="0"/>
              <w:jc w:val="center"/>
              <w:rPr>
                <w:rFonts w:ascii="宋体" w:hAnsi="宋体" w:eastAsiaTheme="minorEastAsia" w:cstheme="minorEastAsia"/>
                <w:sz w:val="18"/>
                <w:szCs w:val="18"/>
                <w:highlight w:val="none"/>
              </w:rPr>
            </w:pPr>
            <w:r>
              <w:rPr>
                <w:rFonts w:hint="eastAsia" w:ascii="宋体" w:hAnsi="宋体" w:eastAsiaTheme="minorEastAsia" w:cstheme="minorEastAsia"/>
                <w:spacing w:val="5"/>
                <w:sz w:val="18"/>
                <w:szCs w:val="18"/>
                <w:highlight w:val="none"/>
              </w:rPr>
              <w:t>效</w:t>
            </w:r>
            <w:r>
              <w:rPr>
                <w:rFonts w:hint="eastAsia" w:ascii="宋体" w:hAnsi="宋体" w:eastAsiaTheme="minorEastAsia" w:cstheme="minorEastAsia"/>
                <w:spacing w:val="3"/>
                <w:sz w:val="18"/>
                <w:szCs w:val="18"/>
                <w:highlight w:val="none"/>
              </w:rPr>
              <w:t>益</w:t>
            </w:r>
          </w:p>
        </w:tc>
        <w:tc>
          <w:tcPr>
            <w:tcW w:w="2272" w:type="dxa"/>
            <w:vAlign w:val="bottom"/>
          </w:tcPr>
          <w:p w14:paraId="3F9DA650">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20</w:t>
            </w:r>
          </w:p>
        </w:tc>
        <w:tc>
          <w:tcPr>
            <w:tcW w:w="2034" w:type="dxa"/>
            <w:vAlign w:val="bottom"/>
          </w:tcPr>
          <w:p w14:paraId="0FAADAE6">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20</w:t>
            </w:r>
          </w:p>
        </w:tc>
        <w:tc>
          <w:tcPr>
            <w:tcW w:w="2188" w:type="dxa"/>
            <w:vAlign w:val="bottom"/>
          </w:tcPr>
          <w:p w14:paraId="4C67C7F3">
            <w:pPr>
              <w:keepNext w:val="0"/>
              <w:keepLines w:val="0"/>
              <w:widowControl/>
              <w:suppressLineNumbers w:val="0"/>
              <w:ind w:firstLine="360" w:firstLineChars="200"/>
              <w:jc w:val="center"/>
              <w:textAlignment w:val="bottom"/>
              <w:rPr>
                <w:rFonts w:ascii="宋体" w:hAnsi="宋体" w:eastAsiaTheme="minorEastAsia" w:cstheme="minorEastAsia"/>
                <w:sz w:val="18"/>
                <w:szCs w:val="18"/>
                <w:highlight w:val="none"/>
              </w:rPr>
            </w:pPr>
            <w:r>
              <w:rPr>
                <w:rFonts w:hint="eastAsia" w:ascii="宋体" w:hAnsi="宋体" w:eastAsia="宋体" w:cs="宋体"/>
                <w:i w:val="0"/>
                <w:iCs w:val="0"/>
                <w:snapToGrid w:val="0"/>
                <w:color w:val="000000"/>
                <w:kern w:val="0"/>
                <w:sz w:val="18"/>
                <w:szCs w:val="18"/>
                <w:highlight w:val="none"/>
                <w:u w:val="none"/>
                <w:lang w:val="en-US" w:eastAsia="zh-CN" w:bidi="ar"/>
              </w:rPr>
              <w:t>100.00%</w:t>
            </w:r>
          </w:p>
        </w:tc>
      </w:tr>
      <w:tr w14:paraId="06E8F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1788" w:type="dxa"/>
            <w:vAlign w:val="center"/>
          </w:tcPr>
          <w:p w14:paraId="2F56E75D">
            <w:pPr>
              <w:widowControl w:val="0"/>
              <w:spacing w:line="240" w:lineRule="exact"/>
              <w:ind w:firstLine="0" w:firstLineChars="0"/>
              <w:jc w:val="center"/>
              <w:rPr>
                <w:rFonts w:ascii="宋体" w:hAnsi="宋体" w:eastAsiaTheme="minorEastAsia" w:cstheme="minorEastAsia"/>
                <w:b/>
                <w:bCs/>
                <w:sz w:val="18"/>
                <w:szCs w:val="18"/>
                <w:highlight w:val="none"/>
              </w:rPr>
            </w:pPr>
            <w:r>
              <w:rPr>
                <w:rFonts w:hint="eastAsia" w:ascii="宋体" w:hAnsi="宋体" w:eastAsiaTheme="minorEastAsia" w:cstheme="minorEastAsia"/>
                <w:b/>
                <w:bCs/>
                <w:spacing w:val="7"/>
                <w:sz w:val="18"/>
                <w:szCs w:val="18"/>
                <w:highlight w:val="none"/>
              </w:rPr>
              <w:t>合</w:t>
            </w:r>
            <w:r>
              <w:rPr>
                <w:rFonts w:hint="eastAsia" w:ascii="宋体" w:hAnsi="宋体" w:eastAsiaTheme="minorEastAsia" w:cstheme="minorEastAsia"/>
                <w:b/>
                <w:bCs/>
                <w:spacing w:val="5"/>
                <w:sz w:val="18"/>
                <w:szCs w:val="18"/>
                <w:highlight w:val="none"/>
              </w:rPr>
              <w:t>计</w:t>
            </w:r>
          </w:p>
        </w:tc>
        <w:tc>
          <w:tcPr>
            <w:tcW w:w="2272" w:type="dxa"/>
            <w:vAlign w:val="bottom"/>
          </w:tcPr>
          <w:p w14:paraId="4D10FD60">
            <w:pPr>
              <w:keepNext w:val="0"/>
              <w:keepLines w:val="0"/>
              <w:widowControl/>
              <w:suppressLineNumbers w:val="0"/>
              <w:ind w:firstLine="361" w:firstLineChars="200"/>
              <w:jc w:val="center"/>
              <w:textAlignment w:val="bottom"/>
              <w:rPr>
                <w:rFonts w:ascii="宋体" w:hAnsi="宋体" w:eastAsiaTheme="minorEastAsia" w:cstheme="minorEastAsia"/>
                <w:b/>
                <w:bCs/>
                <w:sz w:val="18"/>
                <w:szCs w:val="18"/>
                <w:highlight w:val="none"/>
              </w:rPr>
            </w:pPr>
            <w:r>
              <w:rPr>
                <w:rFonts w:hint="eastAsia" w:ascii="宋体" w:hAnsi="宋体" w:eastAsia="宋体" w:cs="宋体"/>
                <w:b/>
                <w:bCs/>
                <w:i w:val="0"/>
                <w:iCs w:val="0"/>
                <w:snapToGrid w:val="0"/>
                <w:color w:val="000000"/>
                <w:kern w:val="0"/>
                <w:sz w:val="18"/>
                <w:szCs w:val="18"/>
                <w:highlight w:val="none"/>
                <w:u w:val="none"/>
                <w:lang w:val="en-US" w:eastAsia="zh-CN" w:bidi="ar"/>
              </w:rPr>
              <w:t>100</w:t>
            </w:r>
          </w:p>
        </w:tc>
        <w:tc>
          <w:tcPr>
            <w:tcW w:w="2034" w:type="dxa"/>
            <w:vAlign w:val="bottom"/>
          </w:tcPr>
          <w:p w14:paraId="55F954A9">
            <w:pPr>
              <w:keepNext w:val="0"/>
              <w:keepLines w:val="0"/>
              <w:widowControl/>
              <w:suppressLineNumbers w:val="0"/>
              <w:ind w:firstLine="361" w:firstLineChars="200"/>
              <w:jc w:val="center"/>
              <w:textAlignment w:val="bottom"/>
              <w:rPr>
                <w:rFonts w:hint="eastAsia" w:ascii="宋体" w:hAnsi="宋体" w:eastAsiaTheme="minorEastAsia" w:cstheme="minorEastAsia"/>
                <w:b/>
                <w:bCs/>
                <w:sz w:val="18"/>
                <w:szCs w:val="18"/>
                <w:highlight w:val="none"/>
                <w:lang w:eastAsia="zh-CN"/>
              </w:rPr>
            </w:pPr>
            <w:r>
              <w:rPr>
                <w:rFonts w:hint="eastAsia" w:ascii="宋体" w:hAnsi="宋体" w:eastAsia="宋体" w:cs="宋体"/>
                <w:b/>
                <w:bCs/>
                <w:i w:val="0"/>
                <w:iCs w:val="0"/>
                <w:snapToGrid w:val="0"/>
                <w:color w:val="000000"/>
                <w:kern w:val="0"/>
                <w:sz w:val="18"/>
                <w:szCs w:val="18"/>
                <w:highlight w:val="none"/>
                <w:u w:val="none"/>
                <w:lang w:val="en-US" w:eastAsia="zh-CN" w:bidi="ar"/>
              </w:rPr>
              <w:t>88</w:t>
            </w:r>
          </w:p>
        </w:tc>
        <w:tc>
          <w:tcPr>
            <w:tcW w:w="2188" w:type="dxa"/>
            <w:vAlign w:val="bottom"/>
          </w:tcPr>
          <w:p w14:paraId="23787AB8">
            <w:pPr>
              <w:keepNext w:val="0"/>
              <w:keepLines w:val="0"/>
              <w:widowControl/>
              <w:suppressLineNumbers w:val="0"/>
              <w:ind w:firstLine="361" w:firstLineChars="200"/>
              <w:jc w:val="center"/>
              <w:textAlignment w:val="bottom"/>
              <w:rPr>
                <w:rFonts w:ascii="宋体" w:hAnsi="宋体" w:eastAsiaTheme="minorEastAsia" w:cstheme="minorEastAsia"/>
                <w:b/>
                <w:bCs/>
                <w:sz w:val="18"/>
                <w:szCs w:val="18"/>
                <w:highlight w:val="none"/>
              </w:rPr>
            </w:pPr>
            <w:r>
              <w:rPr>
                <w:rFonts w:hint="eastAsia" w:ascii="宋体" w:hAnsi="宋体" w:eastAsia="宋体" w:cs="宋体"/>
                <w:b/>
                <w:bCs/>
                <w:i w:val="0"/>
                <w:iCs w:val="0"/>
                <w:snapToGrid w:val="0"/>
                <w:color w:val="000000"/>
                <w:kern w:val="0"/>
                <w:sz w:val="18"/>
                <w:szCs w:val="18"/>
                <w:highlight w:val="none"/>
                <w:u w:val="none"/>
                <w:lang w:val="en-US" w:eastAsia="zh-CN" w:bidi="ar"/>
              </w:rPr>
              <w:t>88.00%</w:t>
            </w:r>
          </w:p>
        </w:tc>
      </w:tr>
    </w:tbl>
    <w:p w14:paraId="376D8EDC">
      <w:pPr>
        <w:pStyle w:val="2"/>
        <w:keepNext/>
        <w:keepLines/>
        <w:pageBreakBefore w:val="0"/>
        <w:widowControl/>
        <w:kinsoku w:val="0"/>
        <w:wordWrap/>
        <w:overflowPunct/>
        <w:topLinePunct w:val="0"/>
        <w:autoSpaceDE w:val="0"/>
        <w:autoSpaceDN w:val="0"/>
        <w:bidi w:val="0"/>
        <w:adjustRightInd w:val="0"/>
        <w:snapToGrid w:val="0"/>
        <w:spacing w:before="0" w:beforeLines="50" w:line="360" w:lineRule="auto"/>
        <w:ind w:left="150" w:leftChars="50" w:firstLine="602" w:firstLineChars="200"/>
        <w:textAlignment w:val="baseline"/>
        <w:rPr>
          <w:rFonts w:ascii="宋体" w:hAnsi="宋体"/>
        </w:rPr>
      </w:pPr>
      <w:bookmarkStart w:id="79" w:name="_bookmark9"/>
      <w:bookmarkEnd w:id="79"/>
      <w:bookmarkStart w:id="80" w:name="_Toc21"/>
      <w:r>
        <w:rPr>
          <w:rFonts w:hint="eastAsia" w:ascii="宋体" w:hAnsi="宋体"/>
        </w:rPr>
        <w:t>四、绩效评价指标分析</w:t>
      </w:r>
      <w:bookmarkEnd w:id="80"/>
    </w:p>
    <w:p w14:paraId="0A212A28">
      <w:pPr>
        <w:pStyle w:val="3"/>
        <w:keepNext/>
        <w:keepLines/>
        <w:pageBreakBefore w:val="0"/>
        <w:widowControl/>
        <w:kinsoku w:val="0"/>
        <w:wordWrap/>
        <w:overflowPunct/>
        <w:topLinePunct w:val="0"/>
        <w:autoSpaceDE w:val="0"/>
        <w:autoSpaceDN w:val="0"/>
        <w:bidi w:val="0"/>
        <w:adjustRightInd w:val="0"/>
        <w:snapToGrid w:val="0"/>
        <w:spacing w:line="600" w:lineRule="exact"/>
        <w:ind w:firstLine="602" w:firstLineChars="200"/>
        <w:textAlignment w:val="baseline"/>
        <w:rPr>
          <w:rFonts w:ascii="宋体" w:hAnsi="宋体"/>
        </w:rPr>
      </w:pPr>
      <w:bookmarkStart w:id="81" w:name="_bookmark14"/>
      <w:bookmarkEnd w:id="81"/>
      <w:bookmarkStart w:id="82" w:name="_bookmark15"/>
      <w:bookmarkEnd w:id="82"/>
      <w:bookmarkStart w:id="83" w:name="_bookmark10"/>
      <w:bookmarkEnd w:id="83"/>
      <w:bookmarkStart w:id="84" w:name="_Toc7893"/>
      <w:r>
        <w:rPr>
          <w:rFonts w:hint="eastAsia" w:ascii="宋体" w:hAnsi="宋体"/>
        </w:rPr>
        <w:t>（一）决策情况分析</w:t>
      </w:r>
      <w:bookmarkEnd w:id="84"/>
    </w:p>
    <w:p w14:paraId="21A58133">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spacing w:val="6"/>
          <w:sz w:val="30"/>
          <w:szCs w:val="30"/>
        </w:rPr>
      </w:pPr>
      <w:r>
        <w:rPr>
          <w:rFonts w:hint="eastAsia" w:ascii="宋体" w:hAnsi="宋体" w:cs="仿宋_GB2312"/>
          <w:color w:val="333333"/>
          <w:spacing w:val="6"/>
          <w:sz w:val="30"/>
          <w:szCs w:val="30"/>
          <w:shd w:val="clear" w:color="auto" w:fill="FFFFFF"/>
        </w:rPr>
        <w:t>“决策”指标涉及二级指标3个，三级指标6个。总分值为25分，得分2</w:t>
      </w:r>
      <w:r>
        <w:rPr>
          <w:rFonts w:hint="eastAsia" w:ascii="宋体" w:hAnsi="宋体" w:cs="仿宋_GB2312"/>
          <w:color w:val="333333"/>
          <w:spacing w:val="6"/>
          <w:sz w:val="30"/>
          <w:szCs w:val="30"/>
          <w:shd w:val="clear" w:color="auto" w:fill="FFFFFF"/>
          <w:lang w:val="en-US" w:eastAsia="zh-CN"/>
        </w:rPr>
        <w:t>5</w:t>
      </w:r>
      <w:r>
        <w:rPr>
          <w:rFonts w:hint="eastAsia" w:ascii="宋体" w:hAnsi="宋体" w:cs="仿宋_GB2312"/>
          <w:color w:val="333333"/>
          <w:spacing w:val="6"/>
          <w:sz w:val="30"/>
          <w:szCs w:val="30"/>
          <w:shd w:val="clear" w:color="auto" w:fill="FFFFFF"/>
        </w:rPr>
        <w:t>分，得分率为</w:t>
      </w:r>
      <w:r>
        <w:rPr>
          <w:rFonts w:hint="eastAsia" w:ascii="宋体" w:hAnsi="宋体" w:cs="仿宋_GB2312"/>
          <w:color w:val="333333"/>
          <w:spacing w:val="6"/>
          <w:sz w:val="30"/>
          <w:szCs w:val="30"/>
          <w:shd w:val="clear" w:color="auto" w:fill="FFFFFF"/>
          <w:lang w:val="en-US" w:eastAsia="zh-CN"/>
        </w:rPr>
        <w:t>100</w:t>
      </w:r>
      <w:r>
        <w:rPr>
          <w:rFonts w:hint="eastAsia" w:ascii="宋体" w:hAnsi="宋体" w:cs="仿宋_GB2312"/>
          <w:color w:val="333333"/>
          <w:spacing w:val="6"/>
          <w:sz w:val="30"/>
          <w:szCs w:val="30"/>
          <w:shd w:val="clear" w:color="auto" w:fill="FFFFFF"/>
        </w:rPr>
        <w:t>%。</w:t>
      </w:r>
    </w:p>
    <w:p w14:paraId="038F01C6">
      <w:pPr>
        <w:pStyle w:val="4"/>
        <w:pageBreakBefore w:val="0"/>
        <w:wordWrap/>
        <w:overflowPunct/>
        <w:topLinePunct w:val="0"/>
        <w:bidi w:val="0"/>
        <w:spacing w:line="600" w:lineRule="exact"/>
        <w:ind w:firstLine="600"/>
        <w:textAlignment w:val="baseline"/>
        <w:rPr>
          <w:rFonts w:ascii="宋体" w:hAnsi="宋体"/>
        </w:rPr>
      </w:pPr>
      <w:bookmarkStart w:id="85" w:name="_Toc29163"/>
      <w:bookmarkStart w:id="86" w:name="_Toc30191"/>
      <w:bookmarkStart w:id="87" w:name="_Toc29623"/>
      <w:r>
        <w:rPr>
          <w:rFonts w:hint="eastAsia" w:ascii="宋体" w:hAnsi="宋体"/>
        </w:rPr>
        <w:t>1.项目立项（满分8分，得分8分）</w:t>
      </w:r>
      <w:bookmarkEnd w:id="85"/>
      <w:bookmarkEnd w:id="86"/>
      <w:bookmarkEnd w:id="87"/>
    </w:p>
    <w:p w14:paraId="230252EE">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（1）立项依据充分性</w:t>
      </w:r>
    </w:p>
    <w:p w14:paraId="0A7405E1">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指标分值4分，得4分。本项目在经营期内能够维持微利，具有较好的经济效益，同时本项目作为公益性项目</w:t>
      </w:r>
      <w:r>
        <w:rPr>
          <w:rFonts w:hint="eastAsia" w:ascii="宋体" w:hAnsi="宋体" w:cs="仿宋_GB2312"/>
          <w:color w:val="333333"/>
          <w:spacing w:val="6"/>
          <w:sz w:val="30"/>
          <w:szCs w:val="30"/>
          <w:highlight w:val="none"/>
          <w:shd w:val="clear" w:color="auto" w:fill="FFFFFF"/>
        </w:rPr>
        <w:t>，能够进</w:t>
      </w:r>
      <w:r>
        <w:rPr>
          <w:rFonts w:hint="eastAsia" w:ascii="宋体" w:hAnsi="宋体" w:cs="仿宋_GB2312"/>
          <w:color w:val="333333"/>
          <w:spacing w:val="6"/>
          <w:sz w:val="30"/>
          <w:szCs w:val="30"/>
          <w:shd w:val="clear" w:color="auto" w:fill="FFFFFF"/>
        </w:rPr>
        <w:t>一步提高医院的治疗条件和综合实力,改善医院的医疗条件，创造一个良好的整体医疗环境，满足人民群众对就医条件越来越高的要求，符合专项债券支持领域和方向情况。</w:t>
      </w:r>
    </w:p>
    <w:p w14:paraId="6868CD6C">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hint="eastAsia"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本项目符合《长春宽城经济开发区第十四个五年规划纲要》和《长春宽城经济开发区发展战略规划（2020-2035年）》。同时符合《吉林省人民政府办公厅关于印发吉林省医疗卫生服务体系规划（2015-2020年）的通知》的要求。</w:t>
      </w:r>
    </w:p>
    <w:p w14:paraId="33F0C9E7">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本项目已纳入财政部地方政府债务管理系统项目库和发改委国家重大项目建设库。</w:t>
      </w:r>
    </w:p>
    <w:p w14:paraId="6663C7EB">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（2）立项程序规范性</w:t>
      </w:r>
    </w:p>
    <w:p w14:paraId="3514BE92">
      <w:pPr>
        <w:pStyle w:val="11"/>
        <w:pageBreakBefore w:val="0"/>
        <w:widowControl w:val="0"/>
        <w:kinsoku/>
        <w:wordWrap/>
        <w:overflowPunct/>
        <w:topLinePunct w:val="0"/>
        <w:autoSpaceDE/>
        <w:autoSpaceDN/>
        <w:bidi w:val="0"/>
        <w:adjustRightInd/>
        <w:snapToGrid/>
        <w:spacing w:beforeAutospacing="0" w:afterAutospacing="0" w:line="600" w:lineRule="exact"/>
        <w:ind w:firstLine="612"/>
        <w:jc w:val="both"/>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指标分值4分，得4分。长春市规划和自然资源局于2021年5月13日颁发了《建设项目用地预审与选址意见书》。</w:t>
      </w:r>
    </w:p>
    <w:p w14:paraId="2134CF73">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长春市规划和自然资源局于2022年5月18日颁发了《建设用地规划许可证》。</w:t>
      </w:r>
    </w:p>
    <w:p w14:paraId="5F857193">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2021年12月，华设设计集团股份有限公司出具《长春市宽城区卫生综合体建设项目工程可行性研究报告（调整</w:t>
      </w:r>
      <w:r>
        <w:rPr>
          <w:rFonts w:hint="eastAsia" w:ascii="宋体" w:hAnsi="宋体" w:cs="仿宋_GB2312"/>
          <w:color w:val="333333"/>
          <w:spacing w:val="6"/>
          <w:sz w:val="30"/>
          <w:szCs w:val="30"/>
          <w:shd w:val="clear" w:color="auto" w:fill="FFFFFF"/>
          <w:lang w:val="en-US" w:eastAsia="zh-CN"/>
        </w:rPr>
        <w:t>版</w:t>
      </w:r>
      <w:r>
        <w:rPr>
          <w:rFonts w:hint="eastAsia" w:ascii="宋体" w:hAnsi="宋体" w:cs="仿宋_GB2312"/>
          <w:color w:val="333333"/>
          <w:spacing w:val="6"/>
          <w:sz w:val="30"/>
          <w:szCs w:val="30"/>
          <w:shd w:val="clear" w:color="auto" w:fill="FFFFFF"/>
        </w:rPr>
        <w:t>）》。</w:t>
      </w:r>
    </w:p>
    <w:p w14:paraId="1F5649D6">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长春市宽城区发展和改革局于2022年1月5日作出了《关于再次调整长春市宽城区卫生综合体建设项目可行性研究报告批复的通知》（长宽发改字【2022】2号）。</w:t>
      </w:r>
    </w:p>
    <w:p w14:paraId="65273B8D">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2022年1月27日，长春市生态环境局宽城区分局出具了《关于长春市宽城区卫生综合体建设项目环境影响报告书的批复》（长环宽审（书）【2022】001号）。</w:t>
      </w:r>
    </w:p>
    <w:p w14:paraId="280C8091">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2023年3月29日，长春市城乡建设委员会颁发了《建筑工程施工许可证》（编号220103202303290201）。</w:t>
      </w:r>
    </w:p>
    <w:p w14:paraId="562AEF29">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综上所述，本项目申报的政策依据与程序较为规范。</w:t>
      </w:r>
    </w:p>
    <w:p w14:paraId="4D34651F">
      <w:pPr>
        <w:pStyle w:val="4"/>
        <w:pageBreakBefore w:val="0"/>
        <w:wordWrap/>
        <w:overflowPunct/>
        <w:topLinePunct w:val="0"/>
        <w:bidi w:val="0"/>
        <w:spacing w:line="600" w:lineRule="exact"/>
        <w:ind w:firstLine="600"/>
        <w:textAlignment w:val="baseline"/>
        <w:rPr>
          <w:rFonts w:ascii="宋体" w:hAnsi="宋体"/>
        </w:rPr>
      </w:pPr>
      <w:bookmarkStart w:id="88" w:name="_Toc1343"/>
      <w:bookmarkStart w:id="89" w:name="_Toc21021"/>
      <w:bookmarkStart w:id="90" w:name="_Toc31012"/>
      <w:r>
        <w:rPr>
          <w:rFonts w:hint="eastAsia" w:ascii="宋体" w:hAnsi="宋体"/>
        </w:rPr>
        <w:t>2.绩效目标（满分9分，得分9分）</w:t>
      </w:r>
      <w:bookmarkEnd w:id="88"/>
      <w:bookmarkEnd w:id="89"/>
      <w:bookmarkEnd w:id="90"/>
    </w:p>
    <w:p w14:paraId="6C38AB0D">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（1）绩效目标合理性</w:t>
      </w:r>
    </w:p>
    <w:p w14:paraId="2A8C7EB6">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spacing w:val="6"/>
          <w:sz w:val="30"/>
          <w:szCs w:val="30"/>
        </w:rPr>
      </w:pPr>
      <w:r>
        <w:rPr>
          <w:rFonts w:hint="eastAsia" w:ascii="宋体" w:hAnsi="宋体" w:cs="仿宋_GB2312"/>
          <w:color w:val="333333"/>
          <w:spacing w:val="6"/>
          <w:sz w:val="30"/>
          <w:szCs w:val="30"/>
          <w:shd w:val="clear" w:color="auto" w:fill="FFFFFF"/>
        </w:rPr>
        <w:t>指标分值4分，得4分。依据长春市宽城区卫生综合体建设项目《地方政府专项债券项目绩效目标申报表》，申报表中设立绩效目标，绩效目标与预算确定的项目资金量相匹配。</w:t>
      </w:r>
    </w:p>
    <w:p w14:paraId="2085B46C">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（2）绩效指标明确性</w:t>
      </w:r>
    </w:p>
    <w:p w14:paraId="5A3012F6">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spacing w:val="6"/>
          <w:sz w:val="30"/>
          <w:szCs w:val="30"/>
        </w:rPr>
      </w:pPr>
      <w:r>
        <w:rPr>
          <w:rFonts w:hint="eastAsia" w:ascii="宋体" w:hAnsi="宋体" w:cs="仿宋_GB2312"/>
          <w:color w:val="333333"/>
          <w:spacing w:val="6"/>
          <w:sz w:val="30"/>
          <w:szCs w:val="30"/>
          <w:shd w:val="clear" w:color="auto" w:fill="FFFFFF"/>
        </w:rPr>
        <w:t>指标分值5分，得5分。</w:t>
      </w:r>
      <w:r>
        <w:rPr>
          <w:rFonts w:hint="eastAsia" w:ascii="宋体" w:hAnsi="宋体" w:cs="仿宋_GB2312"/>
          <w:color w:val="333333"/>
          <w:spacing w:val="6"/>
          <w:sz w:val="30"/>
          <w:szCs w:val="30"/>
          <w:highlight w:val="none"/>
          <w:shd w:val="clear" w:color="auto" w:fill="FFFFFF"/>
        </w:rPr>
        <w:t>依据长春市</w:t>
      </w:r>
      <w:r>
        <w:rPr>
          <w:rFonts w:hint="eastAsia" w:ascii="宋体" w:hAnsi="宋体" w:cs="仿宋_GB2312"/>
          <w:color w:val="333333"/>
          <w:spacing w:val="6"/>
          <w:sz w:val="30"/>
          <w:szCs w:val="30"/>
          <w:shd w:val="clear" w:color="auto" w:fill="FFFFFF"/>
        </w:rPr>
        <w:t>宽城区卫生综合体建设项目《专项债券项目绩效目标申报表》，申报表中将项目绩效目标细化分解为具体的绩效指标，与项目目标任务数或计划数相对应。</w:t>
      </w:r>
    </w:p>
    <w:p w14:paraId="4F552B78">
      <w:pPr>
        <w:pStyle w:val="4"/>
        <w:pageBreakBefore w:val="0"/>
        <w:wordWrap/>
        <w:overflowPunct/>
        <w:topLinePunct w:val="0"/>
        <w:bidi w:val="0"/>
        <w:spacing w:line="600" w:lineRule="exact"/>
        <w:ind w:firstLine="600"/>
        <w:textAlignment w:val="baseline"/>
        <w:rPr>
          <w:rFonts w:ascii="宋体" w:hAnsi="宋体"/>
        </w:rPr>
      </w:pPr>
      <w:bookmarkStart w:id="91" w:name="_Toc6462"/>
      <w:bookmarkStart w:id="92" w:name="_Toc28891"/>
      <w:bookmarkStart w:id="93" w:name="_Toc3704"/>
      <w:r>
        <w:rPr>
          <w:rFonts w:hint="eastAsia" w:ascii="宋体" w:hAnsi="宋体"/>
        </w:rPr>
        <w:t>3.资金分配（满分8分，得分</w:t>
      </w:r>
      <w:r>
        <w:rPr>
          <w:rFonts w:hint="eastAsia" w:ascii="宋体" w:hAnsi="宋体"/>
          <w:lang w:val="en-US" w:eastAsia="zh-CN"/>
        </w:rPr>
        <w:t>8</w:t>
      </w:r>
      <w:r>
        <w:rPr>
          <w:rFonts w:hint="eastAsia" w:ascii="宋体" w:hAnsi="宋体"/>
        </w:rPr>
        <w:t>分）</w:t>
      </w:r>
      <w:bookmarkEnd w:id="91"/>
      <w:bookmarkEnd w:id="92"/>
      <w:bookmarkEnd w:id="93"/>
    </w:p>
    <w:p w14:paraId="1F9AF9F0">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（1）平衡方案编制科学性</w:t>
      </w:r>
    </w:p>
    <w:p w14:paraId="1D03B16C">
      <w:pPr>
        <w:pStyle w:val="11"/>
        <w:pageBreakBefore w:val="0"/>
        <w:widowControl w:val="0"/>
        <w:kinsoku/>
        <w:wordWrap/>
        <w:overflowPunct/>
        <w:topLinePunct w:val="0"/>
        <w:autoSpaceDE/>
        <w:autoSpaceDN/>
        <w:bidi w:val="0"/>
        <w:adjustRightInd/>
        <w:snapToGrid/>
        <w:spacing w:beforeAutospacing="0" w:afterAutospacing="0" w:line="600" w:lineRule="exact"/>
        <w:ind w:firstLine="612"/>
        <w:jc w:val="both"/>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highlight w:val="none"/>
          <w:shd w:val="clear" w:color="auto" w:fill="FFFFFF"/>
        </w:rPr>
        <w:t>指标分值4分，得4分。本项目平衡方案的编制内容完整、体系设计科学，资</w:t>
      </w:r>
      <w:r>
        <w:rPr>
          <w:rFonts w:hint="eastAsia" w:ascii="宋体" w:hAnsi="宋体" w:cs="仿宋_GB2312"/>
          <w:color w:val="333333"/>
          <w:spacing w:val="6"/>
          <w:sz w:val="30"/>
          <w:szCs w:val="30"/>
          <w:shd w:val="clear" w:color="auto" w:fill="FFFFFF"/>
        </w:rPr>
        <w:t>金分配及各年申请专项债券额度较为合理，平衡方案编制的内容与申请专项债券项目内容相匹配。本项目总投资为22,314.88万元，其中拟利用地方财政预算资金5,814.88万元，占比26.06%；发行地方政府专项债券16,500.00万元，占比73.94%。资金额度满足专项债券资金管理要求。</w:t>
      </w:r>
    </w:p>
    <w:p w14:paraId="1A0C5433">
      <w:pPr>
        <w:pStyle w:val="5"/>
        <w:pageBreakBefore w:val="0"/>
        <w:wordWrap/>
        <w:overflowPunct/>
        <w:topLinePunct w:val="0"/>
        <w:bidi w:val="0"/>
        <w:spacing w:line="600" w:lineRule="exact"/>
        <w:ind w:firstLine="600"/>
        <w:textAlignment w:val="baseline"/>
        <w:rPr>
          <w:rFonts w:hint="eastAsia" w:ascii="宋体" w:hAnsi="宋体"/>
        </w:rPr>
      </w:pPr>
      <w:r>
        <w:rPr>
          <w:rFonts w:hint="eastAsia" w:ascii="宋体" w:hAnsi="宋体"/>
        </w:rPr>
        <w:t>（2）资金分配的合理性</w:t>
      </w:r>
    </w:p>
    <w:p w14:paraId="023FDFE7">
      <w:pPr>
        <w:pStyle w:val="5"/>
        <w:pageBreakBefore w:val="0"/>
        <w:wordWrap/>
        <w:overflowPunct/>
        <w:topLinePunct w:val="0"/>
        <w:bidi w:val="0"/>
        <w:spacing w:line="600" w:lineRule="exact"/>
        <w:ind w:firstLine="612"/>
        <w:textAlignment w:val="baseline"/>
        <w:rPr>
          <w:rFonts w:ascii="宋体" w:hAnsi="宋体" w:cs="仿宋_GB2312"/>
          <w:color w:val="333333"/>
          <w:spacing w:val="6"/>
          <w:szCs w:val="30"/>
          <w:highlight w:val="none"/>
          <w:shd w:val="clear" w:color="auto" w:fill="FFFFFF"/>
        </w:rPr>
      </w:pPr>
      <w:r>
        <w:rPr>
          <w:rFonts w:hint="eastAsia" w:ascii="宋体" w:hAnsi="宋体" w:cs="仿宋_GB2312"/>
          <w:color w:val="333333"/>
          <w:spacing w:val="6"/>
          <w:szCs w:val="30"/>
          <w:highlight w:val="none"/>
          <w:shd w:val="clear" w:color="auto" w:fill="FFFFFF"/>
        </w:rPr>
        <w:t>指标分值4分，得</w:t>
      </w:r>
      <w:r>
        <w:rPr>
          <w:rFonts w:hint="eastAsia" w:ascii="宋体" w:hAnsi="宋体" w:cs="仿宋_GB2312"/>
          <w:color w:val="333333"/>
          <w:spacing w:val="6"/>
          <w:szCs w:val="30"/>
          <w:highlight w:val="none"/>
          <w:shd w:val="clear" w:color="auto" w:fill="FFFFFF"/>
          <w:lang w:val="en-US" w:eastAsia="zh-CN"/>
        </w:rPr>
        <w:t>4</w:t>
      </w:r>
      <w:r>
        <w:rPr>
          <w:rFonts w:hint="eastAsia" w:ascii="宋体" w:hAnsi="宋体" w:cs="仿宋_GB2312"/>
          <w:color w:val="333333"/>
          <w:spacing w:val="6"/>
          <w:szCs w:val="30"/>
          <w:highlight w:val="none"/>
          <w:shd w:val="clear" w:color="auto" w:fill="FFFFFF"/>
        </w:rPr>
        <w:t>分。</w:t>
      </w:r>
      <w:r>
        <w:rPr>
          <w:rFonts w:hint="eastAsia" w:ascii="宋体" w:hAnsi="宋体"/>
          <w:highlight w:val="none"/>
        </w:rPr>
        <w:t>本项目</w:t>
      </w:r>
      <w:r>
        <w:rPr>
          <w:rFonts w:hint="eastAsia" w:ascii="宋体" w:hAnsi="宋体" w:cs="仿宋_GB2312"/>
          <w:color w:val="333333"/>
          <w:spacing w:val="6"/>
          <w:szCs w:val="30"/>
          <w:highlight w:val="none"/>
          <w:shd w:val="clear" w:color="auto" w:fill="FFFFFF"/>
        </w:rPr>
        <w:t>专项债券资金分配使用依据充分，自筹资金、债券资金额度分配合理，项目全生命周期收益与拟发债期限相匹配。依据本项目平衡方案，专项债资金发行额度与当年专项债项目任务匹配。截至202</w:t>
      </w:r>
      <w:r>
        <w:rPr>
          <w:rFonts w:hint="eastAsia" w:ascii="宋体" w:hAnsi="宋体" w:cs="仿宋_GB2312"/>
          <w:color w:val="333333"/>
          <w:spacing w:val="6"/>
          <w:szCs w:val="30"/>
          <w:highlight w:val="none"/>
          <w:shd w:val="clear" w:color="auto" w:fill="FFFFFF"/>
          <w:lang w:val="en-US" w:eastAsia="zh-CN"/>
        </w:rPr>
        <w:t>4</w:t>
      </w:r>
      <w:r>
        <w:rPr>
          <w:rFonts w:hint="eastAsia" w:ascii="宋体" w:hAnsi="宋体" w:cs="仿宋_GB2312"/>
          <w:color w:val="333333"/>
          <w:spacing w:val="6"/>
          <w:szCs w:val="30"/>
          <w:highlight w:val="none"/>
          <w:shd w:val="clear" w:color="auto" w:fill="FFFFFF"/>
        </w:rPr>
        <w:t>年末应发行地方政府专项债券1</w:t>
      </w:r>
      <w:r>
        <w:rPr>
          <w:rFonts w:hint="eastAsia" w:ascii="宋体" w:hAnsi="宋体" w:cs="仿宋_GB2312"/>
          <w:color w:val="333333"/>
          <w:spacing w:val="6"/>
          <w:szCs w:val="30"/>
          <w:highlight w:val="none"/>
          <w:shd w:val="clear" w:color="auto" w:fill="FFFFFF"/>
          <w:lang w:val="en-US" w:eastAsia="zh-CN"/>
        </w:rPr>
        <w:t>6</w:t>
      </w:r>
      <w:r>
        <w:rPr>
          <w:rFonts w:hint="eastAsia" w:ascii="宋体" w:hAnsi="宋体" w:cs="仿宋_GB2312"/>
          <w:color w:val="333333"/>
          <w:spacing w:val="6"/>
          <w:szCs w:val="30"/>
          <w:highlight w:val="none"/>
          <w:shd w:val="clear" w:color="auto" w:fill="FFFFFF"/>
        </w:rPr>
        <w:t>,</w:t>
      </w:r>
      <w:r>
        <w:rPr>
          <w:rFonts w:hint="eastAsia" w:ascii="宋体" w:hAnsi="宋体" w:cs="仿宋_GB2312"/>
          <w:color w:val="333333"/>
          <w:spacing w:val="6"/>
          <w:szCs w:val="30"/>
          <w:highlight w:val="none"/>
          <w:shd w:val="clear" w:color="auto" w:fill="FFFFFF"/>
          <w:lang w:val="en-US" w:eastAsia="zh-CN"/>
        </w:rPr>
        <w:t>5</w:t>
      </w:r>
      <w:r>
        <w:rPr>
          <w:rFonts w:hint="eastAsia" w:ascii="宋体" w:hAnsi="宋体" w:cs="仿宋_GB2312"/>
          <w:color w:val="333333"/>
          <w:spacing w:val="6"/>
          <w:szCs w:val="30"/>
          <w:highlight w:val="none"/>
          <w:shd w:val="clear" w:color="auto" w:fill="FFFFFF"/>
        </w:rPr>
        <w:t>00.00万元，实际发行</w:t>
      </w:r>
      <w:r>
        <w:rPr>
          <w:rFonts w:hint="eastAsia" w:ascii="宋体" w:hAnsi="宋体" w:cs="仿宋_GB2312"/>
          <w:color w:val="333333"/>
          <w:spacing w:val="6"/>
          <w:szCs w:val="30"/>
          <w:highlight w:val="none"/>
          <w:shd w:val="clear" w:color="auto" w:fill="FFFFFF"/>
          <w:lang w:val="en-US" w:eastAsia="zh-CN"/>
        </w:rPr>
        <w:t>16</w:t>
      </w:r>
      <w:r>
        <w:rPr>
          <w:rFonts w:hint="eastAsia" w:ascii="宋体" w:hAnsi="宋体" w:cs="仿宋_GB2312"/>
          <w:color w:val="333333"/>
          <w:spacing w:val="6"/>
          <w:szCs w:val="30"/>
          <w:highlight w:val="none"/>
          <w:shd w:val="clear" w:color="auto" w:fill="FFFFFF"/>
        </w:rPr>
        <w:t>,</w:t>
      </w:r>
      <w:r>
        <w:rPr>
          <w:rFonts w:hint="eastAsia" w:ascii="宋体" w:hAnsi="宋体" w:cs="仿宋_GB2312"/>
          <w:color w:val="333333"/>
          <w:spacing w:val="6"/>
          <w:szCs w:val="30"/>
          <w:highlight w:val="none"/>
          <w:shd w:val="clear" w:color="auto" w:fill="FFFFFF"/>
          <w:lang w:val="en-US" w:eastAsia="zh-CN"/>
        </w:rPr>
        <w:t>5</w:t>
      </w:r>
      <w:r>
        <w:rPr>
          <w:rFonts w:hint="eastAsia" w:ascii="宋体" w:hAnsi="宋体" w:cs="仿宋_GB2312"/>
          <w:color w:val="333333"/>
          <w:spacing w:val="6"/>
          <w:szCs w:val="30"/>
          <w:highlight w:val="none"/>
          <w:shd w:val="clear" w:color="auto" w:fill="FFFFFF"/>
        </w:rPr>
        <w:t>00.00万元。</w:t>
      </w:r>
    </w:p>
    <w:p w14:paraId="38070064">
      <w:pPr>
        <w:pStyle w:val="3"/>
        <w:pageBreakBefore w:val="0"/>
        <w:wordWrap/>
        <w:overflowPunct/>
        <w:topLinePunct w:val="0"/>
        <w:bidi w:val="0"/>
        <w:spacing w:line="600" w:lineRule="exact"/>
        <w:ind w:firstLine="602"/>
        <w:textAlignment w:val="baseline"/>
        <w:rPr>
          <w:rFonts w:ascii="宋体" w:hAnsi="宋体"/>
          <w:highlight w:val="none"/>
        </w:rPr>
      </w:pPr>
      <w:bookmarkStart w:id="94" w:name="_Toc18097"/>
      <w:r>
        <w:rPr>
          <w:rFonts w:hint="eastAsia" w:ascii="宋体" w:hAnsi="宋体"/>
          <w:highlight w:val="none"/>
        </w:rPr>
        <w:t>（二）管理情况分析</w:t>
      </w:r>
      <w:bookmarkEnd w:id="94"/>
    </w:p>
    <w:p w14:paraId="579BE07A">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spacing w:val="6"/>
          <w:sz w:val="30"/>
          <w:szCs w:val="30"/>
          <w:highlight w:val="none"/>
        </w:rPr>
      </w:pPr>
      <w:r>
        <w:rPr>
          <w:rFonts w:hint="eastAsia" w:ascii="宋体" w:hAnsi="宋体" w:cs="仿宋_GB2312"/>
          <w:color w:val="333333"/>
          <w:spacing w:val="6"/>
          <w:sz w:val="30"/>
          <w:szCs w:val="30"/>
          <w:highlight w:val="none"/>
          <w:shd w:val="clear" w:color="auto" w:fill="FFFFFF"/>
        </w:rPr>
        <w:t>“管理”指标涉及二级指标2个，三级指标5个。总分值为20分，得分</w:t>
      </w:r>
      <w:r>
        <w:rPr>
          <w:rFonts w:hint="eastAsia" w:ascii="宋体" w:hAnsi="宋体" w:cs="仿宋_GB2312"/>
          <w:color w:val="333333"/>
          <w:spacing w:val="6"/>
          <w:sz w:val="30"/>
          <w:szCs w:val="30"/>
          <w:highlight w:val="none"/>
          <w:shd w:val="clear" w:color="auto" w:fill="FFFFFF"/>
          <w:lang w:val="en-US" w:eastAsia="zh-CN"/>
        </w:rPr>
        <w:t>17</w:t>
      </w:r>
      <w:r>
        <w:rPr>
          <w:rFonts w:hint="eastAsia" w:ascii="宋体" w:hAnsi="宋体" w:cs="仿宋_GB2312"/>
          <w:color w:val="333333"/>
          <w:spacing w:val="6"/>
          <w:sz w:val="30"/>
          <w:szCs w:val="30"/>
          <w:highlight w:val="none"/>
          <w:shd w:val="clear" w:color="auto" w:fill="FFFFFF"/>
        </w:rPr>
        <w:t>分，得分率为</w:t>
      </w:r>
      <w:r>
        <w:rPr>
          <w:rFonts w:hint="eastAsia" w:ascii="宋体" w:hAnsi="宋体" w:cs="仿宋_GB2312"/>
          <w:color w:val="333333"/>
          <w:spacing w:val="6"/>
          <w:sz w:val="30"/>
          <w:szCs w:val="30"/>
          <w:highlight w:val="none"/>
          <w:shd w:val="clear" w:color="auto" w:fill="FFFFFF"/>
          <w:lang w:val="en-US" w:eastAsia="zh-CN"/>
        </w:rPr>
        <w:t>85</w:t>
      </w:r>
      <w:r>
        <w:rPr>
          <w:rFonts w:hint="eastAsia" w:ascii="宋体" w:hAnsi="宋体" w:cs="仿宋_GB2312"/>
          <w:color w:val="333333"/>
          <w:spacing w:val="6"/>
          <w:sz w:val="30"/>
          <w:szCs w:val="30"/>
          <w:highlight w:val="none"/>
          <w:shd w:val="clear" w:color="auto" w:fill="FFFFFF"/>
        </w:rPr>
        <w:t>.00%。</w:t>
      </w:r>
    </w:p>
    <w:p w14:paraId="2D2C639A">
      <w:pPr>
        <w:pStyle w:val="4"/>
        <w:pageBreakBefore w:val="0"/>
        <w:wordWrap/>
        <w:overflowPunct/>
        <w:topLinePunct w:val="0"/>
        <w:bidi w:val="0"/>
        <w:spacing w:line="600" w:lineRule="exact"/>
        <w:ind w:firstLine="600"/>
        <w:textAlignment w:val="baseline"/>
        <w:rPr>
          <w:rFonts w:ascii="宋体" w:hAnsi="宋体"/>
        </w:rPr>
      </w:pPr>
      <w:bookmarkStart w:id="95" w:name="_Toc26988"/>
      <w:bookmarkStart w:id="96" w:name="_Toc14932"/>
      <w:bookmarkStart w:id="97" w:name="_Toc26923"/>
      <w:bookmarkStart w:id="98" w:name="_Toc27361"/>
      <w:bookmarkStart w:id="99" w:name="_Toc2104"/>
      <w:r>
        <w:rPr>
          <w:rFonts w:hint="eastAsia" w:ascii="宋体" w:hAnsi="宋体"/>
        </w:rPr>
        <w:t>1.组织实施（满分</w:t>
      </w:r>
      <w:r>
        <w:rPr>
          <w:rFonts w:hint="eastAsia" w:ascii="宋体" w:hAnsi="宋体"/>
          <w:lang w:val="en-US" w:eastAsia="zh-CN"/>
        </w:rPr>
        <w:t>8</w:t>
      </w:r>
      <w:r>
        <w:rPr>
          <w:rFonts w:hint="eastAsia" w:ascii="宋体" w:hAnsi="宋体"/>
        </w:rPr>
        <w:t>分，得分</w:t>
      </w:r>
      <w:r>
        <w:rPr>
          <w:rFonts w:hint="eastAsia" w:ascii="宋体" w:hAnsi="宋体"/>
          <w:lang w:val="en-US" w:eastAsia="zh-CN"/>
        </w:rPr>
        <w:t>6</w:t>
      </w:r>
      <w:r>
        <w:rPr>
          <w:rFonts w:hint="eastAsia" w:ascii="宋体" w:hAnsi="宋体"/>
        </w:rPr>
        <w:t>分）</w:t>
      </w:r>
      <w:bookmarkEnd w:id="95"/>
      <w:bookmarkEnd w:id="96"/>
      <w:bookmarkEnd w:id="97"/>
    </w:p>
    <w:p w14:paraId="520E80C2">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（1）管理制度健全性</w:t>
      </w:r>
    </w:p>
    <w:p w14:paraId="0167876E">
      <w:pPr>
        <w:pStyle w:val="11"/>
        <w:pageBreakBefore w:val="0"/>
        <w:widowControl w:val="0"/>
        <w:kinsoku/>
        <w:wordWrap/>
        <w:overflowPunct/>
        <w:topLinePunct w:val="0"/>
        <w:autoSpaceDE/>
        <w:autoSpaceDN/>
        <w:bidi w:val="0"/>
        <w:adjustRightInd/>
        <w:snapToGrid/>
        <w:spacing w:beforeAutospacing="0" w:afterAutospacing="0" w:line="600" w:lineRule="exact"/>
        <w:ind w:firstLine="612"/>
        <w:jc w:val="both"/>
        <w:textAlignment w:val="baseline"/>
        <w:rPr>
          <w:rFonts w:hint="default" w:ascii="宋体" w:hAnsi="宋体" w:eastAsia="仿宋_GB2312" w:cs="仿宋_GB2312"/>
          <w:color w:val="333333"/>
          <w:spacing w:val="6"/>
          <w:sz w:val="30"/>
          <w:szCs w:val="30"/>
          <w:shd w:val="clear" w:color="auto" w:fill="FFFFFF"/>
          <w:lang w:val="en-US" w:eastAsia="zh-CN"/>
        </w:rPr>
      </w:pPr>
      <w:r>
        <w:rPr>
          <w:rFonts w:hint="eastAsia" w:ascii="宋体" w:hAnsi="宋体" w:cs="仿宋_GB2312"/>
          <w:color w:val="333333"/>
          <w:spacing w:val="6"/>
          <w:sz w:val="30"/>
          <w:szCs w:val="30"/>
          <w:shd w:val="clear" w:color="auto" w:fill="FFFFFF"/>
        </w:rPr>
        <w:t>指标分值</w:t>
      </w:r>
      <w:r>
        <w:rPr>
          <w:rFonts w:hint="eastAsia" w:ascii="宋体" w:hAnsi="宋体" w:cs="仿宋_GB2312"/>
          <w:color w:val="333333"/>
          <w:spacing w:val="6"/>
          <w:sz w:val="30"/>
          <w:szCs w:val="30"/>
          <w:shd w:val="clear" w:color="auto" w:fill="FFFFFF"/>
          <w:lang w:val="en-US" w:eastAsia="zh-CN"/>
        </w:rPr>
        <w:t>4</w:t>
      </w:r>
      <w:r>
        <w:rPr>
          <w:rFonts w:hint="eastAsia" w:ascii="宋体" w:hAnsi="宋体" w:cs="仿宋_GB2312"/>
          <w:color w:val="333333"/>
          <w:spacing w:val="6"/>
          <w:sz w:val="30"/>
          <w:szCs w:val="30"/>
          <w:shd w:val="clear" w:color="auto" w:fill="FFFFFF"/>
        </w:rPr>
        <w:t>分，得分</w:t>
      </w:r>
      <w:r>
        <w:rPr>
          <w:rFonts w:hint="eastAsia" w:ascii="宋体" w:hAnsi="宋体" w:cs="仿宋_GB2312"/>
          <w:color w:val="333333"/>
          <w:spacing w:val="6"/>
          <w:sz w:val="30"/>
          <w:szCs w:val="30"/>
          <w:shd w:val="clear" w:color="auto" w:fill="FFFFFF"/>
          <w:lang w:val="en-US" w:eastAsia="zh-CN"/>
        </w:rPr>
        <w:t>2</w:t>
      </w:r>
      <w:r>
        <w:rPr>
          <w:rFonts w:hint="eastAsia" w:ascii="宋体" w:hAnsi="宋体" w:cs="仿宋_GB2312"/>
          <w:color w:val="333333"/>
          <w:spacing w:val="6"/>
          <w:sz w:val="30"/>
          <w:szCs w:val="30"/>
          <w:shd w:val="clear" w:color="auto" w:fill="FFFFFF"/>
        </w:rPr>
        <w:t>.5分，扣</w:t>
      </w:r>
      <w:r>
        <w:rPr>
          <w:rFonts w:hint="eastAsia" w:ascii="宋体" w:hAnsi="宋体" w:cs="仿宋_GB2312"/>
          <w:color w:val="333333"/>
          <w:spacing w:val="6"/>
          <w:sz w:val="30"/>
          <w:szCs w:val="30"/>
          <w:shd w:val="clear" w:color="auto" w:fill="FFFFFF"/>
          <w:lang w:val="en-US" w:eastAsia="zh-CN"/>
        </w:rPr>
        <w:t>1</w:t>
      </w:r>
      <w:r>
        <w:rPr>
          <w:rFonts w:hint="eastAsia" w:ascii="宋体" w:hAnsi="宋体" w:cs="仿宋_GB2312"/>
          <w:color w:val="333333"/>
          <w:spacing w:val="6"/>
          <w:sz w:val="30"/>
          <w:szCs w:val="30"/>
          <w:shd w:val="clear" w:color="auto" w:fill="FFFFFF"/>
        </w:rPr>
        <w:t>.5分。长春市宽城区中</w:t>
      </w:r>
      <w:r>
        <w:rPr>
          <w:rFonts w:hint="eastAsia" w:ascii="宋体" w:hAnsi="宋体" w:cs="仿宋_GB2312"/>
          <w:color w:val="333333"/>
          <w:spacing w:val="6"/>
          <w:sz w:val="30"/>
          <w:szCs w:val="30"/>
          <w:highlight w:val="none"/>
          <w:shd w:val="clear" w:color="auto" w:fill="FFFFFF"/>
        </w:rPr>
        <w:t>医院为本项目设立了专门的管理机构</w:t>
      </w:r>
      <w:r>
        <w:rPr>
          <w:rFonts w:hint="eastAsia" w:ascii="宋体" w:hAnsi="宋体" w:cs="仿宋_GB2312"/>
          <w:spacing w:val="6"/>
          <w:sz w:val="30"/>
          <w:szCs w:val="30"/>
          <w:highlight w:val="none"/>
          <w:shd w:val="clear" w:color="auto" w:fill="FFFFFF"/>
        </w:rPr>
        <w:t>及专项债券资金使用计划</w:t>
      </w:r>
      <w:r>
        <w:rPr>
          <w:rFonts w:hint="eastAsia" w:ascii="宋体" w:hAnsi="宋体" w:cs="仿宋_GB2312"/>
          <w:color w:val="333333"/>
          <w:spacing w:val="6"/>
          <w:sz w:val="30"/>
          <w:szCs w:val="30"/>
          <w:highlight w:val="none"/>
          <w:shd w:val="clear" w:color="auto" w:fill="FFFFFF"/>
        </w:rPr>
        <w:t>，制定了</w:t>
      </w:r>
      <w:r>
        <w:rPr>
          <w:rFonts w:hint="eastAsia" w:ascii="宋体" w:hAnsi="宋体" w:cs="仿宋_GB2312"/>
          <w:spacing w:val="6"/>
          <w:sz w:val="30"/>
          <w:szCs w:val="30"/>
          <w:highlight w:val="none"/>
          <w:shd w:val="clear" w:color="auto" w:fill="FFFFFF"/>
        </w:rPr>
        <w:t>《专项债券财务管理制度》，对资金收款、付款流程和资金使用进度进行了规定，但在具体实施过程中整体流程不够细化，扣0.5分。</w:t>
      </w:r>
      <w:r>
        <w:rPr>
          <w:rFonts w:hint="eastAsia" w:ascii="宋体" w:hAnsi="宋体" w:cs="仿宋_GB2312"/>
          <w:spacing w:val="6"/>
          <w:sz w:val="30"/>
          <w:szCs w:val="30"/>
          <w:highlight w:val="none"/>
          <w:shd w:val="clear" w:color="auto" w:fill="FFFFFF"/>
          <w:lang w:val="en-US" w:eastAsia="zh-CN"/>
        </w:rPr>
        <w:t>依</w:t>
      </w:r>
      <w:r>
        <w:rPr>
          <w:rFonts w:hint="eastAsia" w:ascii="宋体" w:hAnsi="宋体" w:cs="仿宋_GB2312"/>
          <w:spacing w:val="6"/>
          <w:sz w:val="30"/>
          <w:szCs w:val="30"/>
          <w:highlight w:val="none"/>
          <w:shd w:val="clear" w:color="auto" w:fill="FFFFFF"/>
        </w:rPr>
        <w:t>据《关于调整长春市宽城区卫生综合体建设项目建设期限的通知》（长宽发改字【2021】157号），本项目建设工期为自2021年10月起至2024年10月止</w:t>
      </w:r>
      <w:r>
        <w:rPr>
          <w:rFonts w:hint="eastAsia" w:ascii="宋体" w:hAnsi="宋体" w:cs="仿宋_GB2312"/>
          <w:spacing w:val="6"/>
          <w:sz w:val="30"/>
          <w:szCs w:val="30"/>
          <w:highlight w:val="none"/>
          <w:shd w:val="clear" w:color="auto" w:fill="FFFFFF"/>
          <w:lang w:eastAsia="zh-CN"/>
        </w:rPr>
        <w:t>，</w:t>
      </w:r>
      <w:r>
        <w:rPr>
          <w:rFonts w:hint="eastAsia" w:ascii="宋体" w:hAnsi="宋体" w:cs="仿宋_GB2312"/>
          <w:spacing w:val="6"/>
          <w:sz w:val="30"/>
          <w:szCs w:val="30"/>
          <w:highlight w:val="none"/>
          <w:shd w:val="clear" w:color="auto" w:fill="FFFFFF"/>
          <w:lang w:val="en-US" w:eastAsia="zh-CN"/>
        </w:rPr>
        <w:t>截止2024年末项目未完工，未取得建设期延期的批复文件，扣1分。</w:t>
      </w:r>
    </w:p>
    <w:p w14:paraId="05BFE3D8">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（2）组织实施有效性</w:t>
      </w:r>
    </w:p>
    <w:p w14:paraId="74FBAAFF">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highlight w:val="none"/>
          <w:shd w:val="clear" w:color="auto" w:fill="FFFFFF"/>
        </w:rPr>
      </w:pPr>
      <w:r>
        <w:rPr>
          <w:rFonts w:hint="eastAsia" w:ascii="宋体" w:hAnsi="宋体" w:cs="仿宋_GB2312"/>
          <w:color w:val="333333"/>
          <w:spacing w:val="6"/>
          <w:sz w:val="30"/>
          <w:szCs w:val="30"/>
          <w:shd w:val="clear" w:color="auto" w:fill="FFFFFF"/>
        </w:rPr>
        <w:t>指标分值4分，得分3.5分，扣0.5分。</w:t>
      </w:r>
      <w:r>
        <w:rPr>
          <w:rFonts w:hint="eastAsia" w:ascii="宋体" w:hAnsi="宋体" w:cs="仿宋_GB2312"/>
          <w:color w:val="333333"/>
          <w:spacing w:val="6"/>
          <w:sz w:val="30"/>
          <w:szCs w:val="30"/>
          <w:highlight w:val="none"/>
          <w:shd w:val="clear" w:color="auto" w:fill="FFFFFF"/>
        </w:rPr>
        <w:t>本项目实施的人员条件、场地设备、信息支撑已落实到位。通过查看财务资料，截至目前已签订的项目合同书等资料齐全并已归档管理。专项债券项目信息已按规定进行公开。与项目建设有关的水电、市政道路已完成，但地下管网等配套基础设施尚未完工，目前正在有序开展中，扣0.5分。</w:t>
      </w:r>
    </w:p>
    <w:p w14:paraId="78F2F6C8">
      <w:pPr>
        <w:pStyle w:val="4"/>
        <w:pageBreakBefore w:val="0"/>
        <w:wordWrap/>
        <w:overflowPunct/>
        <w:topLinePunct w:val="0"/>
        <w:bidi w:val="0"/>
        <w:spacing w:line="600" w:lineRule="exact"/>
        <w:ind w:firstLine="600"/>
        <w:textAlignment w:val="baseline"/>
        <w:rPr>
          <w:rFonts w:ascii="宋体" w:hAnsi="宋体"/>
          <w:highlight w:val="none"/>
        </w:rPr>
      </w:pPr>
      <w:bookmarkStart w:id="100" w:name="_Toc7666"/>
      <w:r>
        <w:rPr>
          <w:rFonts w:hint="eastAsia" w:ascii="宋体" w:hAnsi="宋体"/>
          <w:highlight w:val="none"/>
        </w:rPr>
        <w:t>2.资金管理（满分1</w:t>
      </w:r>
      <w:r>
        <w:rPr>
          <w:rFonts w:hint="eastAsia" w:ascii="宋体" w:hAnsi="宋体"/>
          <w:highlight w:val="none"/>
          <w:lang w:val="en-US" w:eastAsia="zh-CN"/>
        </w:rPr>
        <w:t>2</w:t>
      </w:r>
      <w:r>
        <w:rPr>
          <w:rFonts w:hint="eastAsia" w:ascii="宋体" w:hAnsi="宋体"/>
          <w:highlight w:val="none"/>
        </w:rPr>
        <w:t>分，得分</w:t>
      </w:r>
      <w:r>
        <w:rPr>
          <w:rFonts w:hint="eastAsia" w:ascii="宋体" w:hAnsi="宋体"/>
          <w:highlight w:val="none"/>
          <w:lang w:val="en-US" w:eastAsia="zh-CN"/>
        </w:rPr>
        <w:t>11</w:t>
      </w:r>
      <w:r>
        <w:rPr>
          <w:rFonts w:hint="eastAsia" w:ascii="宋体" w:hAnsi="宋体"/>
          <w:highlight w:val="none"/>
        </w:rPr>
        <w:t>分）</w:t>
      </w:r>
      <w:bookmarkEnd w:id="98"/>
      <w:bookmarkEnd w:id="99"/>
      <w:bookmarkEnd w:id="100"/>
    </w:p>
    <w:p w14:paraId="59423F2D">
      <w:pPr>
        <w:pStyle w:val="5"/>
        <w:pageBreakBefore w:val="0"/>
        <w:wordWrap/>
        <w:overflowPunct/>
        <w:topLinePunct w:val="0"/>
        <w:bidi w:val="0"/>
        <w:spacing w:line="600" w:lineRule="exact"/>
        <w:ind w:firstLine="600"/>
        <w:textAlignment w:val="baseline"/>
        <w:rPr>
          <w:rFonts w:ascii="宋体" w:hAnsi="宋体"/>
          <w:highlight w:val="none"/>
        </w:rPr>
      </w:pPr>
      <w:r>
        <w:rPr>
          <w:rFonts w:hint="eastAsia" w:ascii="宋体" w:hAnsi="宋体"/>
          <w:highlight w:val="none"/>
        </w:rPr>
        <w:t>（1）资金使用合规性</w:t>
      </w:r>
    </w:p>
    <w:p w14:paraId="1188EB6A">
      <w:pPr>
        <w:pStyle w:val="11"/>
        <w:pageBreakBefore w:val="0"/>
        <w:widowControl w:val="0"/>
        <w:kinsoku/>
        <w:wordWrap/>
        <w:overflowPunct/>
        <w:topLinePunct w:val="0"/>
        <w:autoSpaceDE/>
        <w:autoSpaceDN/>
        <w:bidi w:val="0"/>
        <w:adjustRightInd/>
        <w:snapToGrid/>
        <w:spacing w:beforeAutospacing="0" w:afterAutospacing="0" w:line="600" w:lineRule="exact"/>
        <w:ind w:firstLine="612"/>
        <w:jc w:val="both"/>
        <w:textAlignment w:val="baseline"/>
        <w:rPr>
          <w:rFonts w:hint="default" w:ascii="宋体" w:hAnsi="宋体" w:eastAsia="仿宋_GB2312" w:cs="仿宋_GB2312"/>
          <w:spacing w:val="6"/>
          <w:sz w:val="30"/>
          <w:szCs w:val="30"/>
          <w:highlight w:val="none"/>
          <w:lang w:val="en-US" w:eastAsia="zh-CN"/>
        </w:rPr>
      </w:pPr>
      <w:r>
        <w:rPr>
          <w:rFonts w:hint="eastAsia" w:ascii="宋体" w:hAnsi="宋体" w:cs="仿宋_GB2312"/>
          <w:color w:val="333333"/>
          <w:spacing w:val="6"/>
          <w:sz w:val="30"/>
          <w:szCs w:val="30"/>
          <w:highlight w:val="none"/>
          <w:shd w:val="clear" w:color="auto" w:fill="FFFFFF"/>
        </w:rPr>
        <w:t>指标分值</w:t>
      </w:r>
      <w:r>
        <w:rPr>
          <w:rFonts w:hint="eastAsia" w:ascii="宋体" w:hAnsi="宋体" w:cs="仿宋_GB2312"/>
          <w:color w:val="333333"/>
          <w:spacing w:val="6"/>
          <w:sz w:val="30"/>
          <w:szCs w:val="30"/>
          <w:highlight w:val="none"/>
          <w:shd w:val="clear" w:color="auto" w:fill="FFFFFF"/>
          <w:lang w:val="en-US" w:eastAsia="zh-CN"/>
        </w:rPr>
        <w:t>4</w:t>
      </w:r>
      <w:r>
        <w:rPr>
          <w:rFonts w:hint="eastAsia" w:ascii="宋体" w:hAnsi="宋体" w:cs="仿宋_GB2312"/>
          <w:color w:val="333333"/>
          <w:spacing w:val="6"/>
          <w:sz w:val="30"/>
          <w:szCs w:val="30"/>
          <w:highlight w:val="none"/>
          <w:shd w:val="clear" w:color="auto" w:fill="FFFFFF"/>
        </w:rPr>
        <w:t>分，得</w:t>
      </w:r>
      <w:r>
        <w:rPr>
          <w:rFonts w:hint="eastAsia" w:ascii="宋体" w:hAnsi="宋体" w:cs="仿宋_GB2312"/>
          <w:color w:val="333333"/>
          <w:spacing w:val="6"/>
          <w:sz w:val="30"/>
          <w:szCs w:val="30"/>
          <w:highlight w:val="none"/>
          <w:shd w:val="clear" w:color="auto" w:fill="FFFFFF"/>
          <w:lang w:val="en-US" w:eastAsia="zh-CN"/>
        </w:rPr>
        <w:t>3</w:t>
      </w:r>
      <w:r>
        <w:rPr>
          <w:rFonts w:hint="eastAsia" w:ascii="宋体" w:hAnsi="宋体" w:cs="仿宋_GB2312"/>
          <w:color w:val="333333"/>
          <w:spacing w:val="6"/>
          <w:sz w:val="30"/>
          <w:szCs w:val="30"/>
          <w:highlight w:val="none"/>
          <w:shd w:val="clear" w:color="auto" w:fill="FFFFFF"/>
        </w:rPr>
        <w:t>分，扣</w:t>
      </w:r>
      <w:r>
        <w:rPr>
          <w:rFonts w:hint="eastAsia" w:ascii="宋体" w:hAnsi="宋体" w:cs="仿宋_GB2312"/>
          <w:color w:val="333333"/>
          <w:spacing w:val="6"/>
          <w:sz w:val="30"/>
          <w:szCs w:val="30"/>
          <w:highlight w:val="none"/>
          <w:shd w:val="clear" w:color="auto" w:fill="FFFFFF"/>
          <w:lang w:val="en-US" w:eastAsia="zh-CN"/>
        </w:rPr>
        <w:t>1</w:t>
      </w:r>
      <w:r>
        <w:rPr>
          <w:rFonts w:hint="eastAsia" w:ascii="宋体" w:hAnsi="宋体" w:cs="仿宋_GB2312"/>
          <w:color w:val="333333"/>
          <w:spacing w:val="6"/>
          <w:sz w:val="30"/>
          <w:szCs w:val="30"/>
          <w:highlight w:val="none"/>
          <w:shd w:val="clear" w:color="auto" w:fill="FFFFFF"/>
        </w:rPr>
        <w:t>分。本项目资金拨付有完整的审批程序和手续，符合项目预算批复或合同规定的用途，未发现截留、挤占、挪用等情况</w:t>
      </w:r>
      <w:r>
        <w:rPr>
          <w:rFonts w:hint="eastAsia" w:ascii="宋体" w:hAnsi="宋体" w:cs="仿宋_GB2312"/>
          <w:color w:val="333333"/>
          <w:spacing w:val="6"/>
          <w:sz w:val="30"/>
          <w:szCs w:val="30"/>
          <w:highlight w:val="none"/>
          <w:shd w:val="clear" w:color="auto" w:fill="FFFFFF"/>
          <w:lang w:eastAsia="zh-CN"/>
        </w:rPr>
        <w:t>；</w:t>
      </w:r>
      <w:r>
        <w:rPr>
          <w:rFonts w:hint="eastAsia" w:ascii="宋体" w:hAnsi="宋体" w:cs="仿宋_GB2312"/>
          <w:color w:val="333333"/>
          <w:spacing w:val="6"/>
          <w:sz w:val="30"/>
          <w:szCs w:val="30"/>
          <w:highlight w:val="none"/>
          <w:shd w:val="clear" w:color="auto" w:fill="FFFFFF"/>
        </w:rPr>
        <w:t>专项债券项目资金</w:t>
      </w:r>
      <w:r>
        <w:rPr>
          <w:rFonts w:hint="eastAsia" w:ascii="宋体" w:hAnsi="宋体" w:cs="仿宋_GB2312"/>
          <w:color w:val="333333"/>
          <w:spacing w:val="6"/>
          <w:sz w:val="30"/>
          <w:szCs w:val="30"/>
          <w:highlight w:val="none"/>
          <w:shd w:val="clear" w:color="auto" w:fill="FFFFFF"/>
          <w:lang w:val="en-US" w:eastAsia="zh-CN"/>
        </w:rPr>
        <w:t>在</w:t>
      </w:r>
      <w:r>
        <w:rPr>
          <w:rFonts w:hint="eastAsia" w:ascii="宋体" w:hAnsi="宋体" w:cs="仿宋_GB2312"/>
          <w:color w:val="333333"/>
          <w:spacing w:val="6"/>
          <w:sz w:val="30"/>
          <w:szCs w:val="30"/>
          <w:highlight w:val="none"/>
          <w:shd w:val="clear" w:color="auto" w:fill="FFFFFF"/>
        </w:rPr>
        <w:t>建设期间按照计划执行</w:t>
      </w:r>
      <w:r>
        <w:rPr>
          <w:rFonts w:hint="eastAsia" w:ascii="宋体" w:hAnsi="宋体" w:cs="仿宋_GB2312"/>
          <w:color w:val="333333"/>
          <w:spacing w:val="6"/>
          <w:sz w:val="30"/>
          <w:szCs w:val="30"/>
          <w:highlight w:val="none"/>
          <w:shd w:val="clear" w:color="auto" w:fill="FFFFFF"/>
          <w:lang w:eastAsia="zh-CN"/>
        </w:rPr>
        <w:t>；</w:t>
      </w:r>
      <w:r>
        <w:rPr>
          <w:rFonts w:hint="eastAsia" w:ascii="宋体" w:hAnsi="宋体" w:cs="仿宋_GB2312"/>
          <w:color w:val="333333"/>
          <w:spacing w:val="6"/>
          <w:sz w:val="30"/>
          <w:szCs w:val="30"/>
          <w:highlight w:val="none"/>
          <w:shd w:val="clear" w:color="auto" w:fill="FFFFFF"/>
          <w:lang w:val="en-US" w:eastAsia="zh-CN"/>
        </w:rPr>
        <w:t>但是部分合同未签订日期，例如与吉林荣舰电力工程有限公司签订的本项目红线内配电工程施工合同未签订日期，扣1分。</w:t>
      </w:r>
    </w:p>
    <w:p w14:paraId="0B51A9BA">
      <w:pPr>
        <w:pStyle w:val="5"/>
        <w:pageBreakBefore w:val="0"/>
        <w:wordWrap/>
        <w:overflowPunct/>
        <w:topLinePunct w:val="0"/>
        <w:bidi w:val="0"/>
        <w:spacing w:line="600" w:lineRule="exact"/>
        <w:ind w:firstLine="600"/>
        <w:textAlignment w:val="baseline"/>
        <w:rPr>
          <w:rFonts w:ascii="宋体" w:hAnsi="宋体"/>
          <w:highlight w:val="none"/>
        </w:rPr>
      </w:pPr>
      <w:r>
        <w:rPr>
          <w:rFonts w:hint="eastAsia" w:ascii="宋体" w:hAnsi="宋体"/>
          <w:highlight w:val="none"/>
        </w:rPr>
        <w:t>（2）资金到位率</w:t>
      </w:r>
    </w:p>
    <w:p w14:paraId="2C9AA8ED">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spacing w:val="6"/>
          <w:sz w:val="30"/>
          <w:szCs w:val="30"/>
          <w:highlight w:val="none"/>
        </w:rPr>
      </w:pPr>
      <w:r>
        <w:rPr>
          <w:rFonts w:hint="eastAsia" w:ascii="宋体" w:hAnsi="宋体" w:cs="仿宋_GB2312"/>
          <w:color w:val="333333"/>
          <w:spacing w:val="6"/>
          <w:sz w:val="30"/>
          <w:szCs w:val="30"/>
          <w:highlight w:val="none"/>
          <w:shd w:val="clear" w:color="auto" w:fill="FFFFFF"/>
        </w:rPr>
        <w:t>指标分值4分，得</w:t>
      </w:r>
      <w:r>
        <w:rPr>
          <w:rFonts w:hint="eastAsia" w:ascii="宋体" w:hAnsi="宋体" w:cs="仿宋_GB2312"/>
          <w:color w:val="333333"/>
          <w:spacing w:val="6"/>
          <w:sz w:val="30"/>
          <w:szCs w:val="30"/>
          <w:highlight w:val="none"/>
          <w:shd w:val="clear" w:color="auto" w:fill="FFFFFF"/>
          <w:lang w:val="en-US" w:eastAsia="zh-CN"/>
        </w:rPr>
        <w:t>4</w:t>
      </w:r>
      <w:r>
        <w:rPr>
          <w:rFonts w:hint="eastAsia" w:ascii="宋体" w:hAnsi="宋体" w:cs="仿宋_GB2312"/>
          <w:color w:val="333333"/>
          <w:spacing w:val="6"/>
          <w:sz w:val="30"/>
          <w:szCs w:val="30"/>
          <w:highlight w:val="none"/>
          <w:shd w:val="clear" w:color="auto" w:fill="FFFFFF"/>
        </w:rPr>
        <w:t>分。202</w:t>
      </w:r>
      <w:r>
        <w:rPr>
          <w:rFonts w:hint="eastAsia" w:ascii="宋体" w:hAnsi="宋体" w:cs="仿宋_GB2312"/>
          <w:color w:val="333333"/>
          <w:spacing w:val="6"/>
          <w:sz w:val="30"/>
          <w:szCs w:val="30"/>
          <w:highlight w:val="none"/>
          <w:shd w:val="clear" w:color="auto" w:fill="FFFFFF"/>
          <w:lang w:val="en-US" w:eastAsia="zh-CN"/>
        </w:rPr>
        <w:t>4</w:t>
      </w:r>
      <w:r>
        <w:rPr>
          <w:rFonts w:hint="eastAsia" w:ascii="宋体" w:hAnsi="宋体" w:cs="仿宋_GB2312"/>
          <w:color w:val="333333"/>
          <w:spacing w:val="6"/>
          <w:sz w:val="30"/>
          <w:szCs w:val="30"/>
          <w:highlight w:val="none"/>
          <w:shd w:val="clear" w:color="auto" w:fill="FFFFFF"/>
        </w:rPr>
        <w:t>年度本项目预算资金共计9,520.00万元，其中财政预算资金</w:t>
      </w:r>
      <w:r>
        <w:rPr>
          <w:rFonts w:hint="eastAsia" w:ascii="宋体" w:hAnsi="宋体" w:cs="仿宋_GB2312"/>
          <w:color w:val="333333"/>
          <w:spacing w:val="6"/>
          <w:sz w:val="30"/>
          <w:szCs w:val="30"/>
          <w:highlight w:val="none"/>
          <w:shd w:val="clear" w:color="auto" w:fill="FFFFFF"/>
          <w:lang w:val="en-US" w:eastAsia="zh-CN"/>
        </w:rPr>
        <w:t>20</w:t>
      </w:r>
      <w:r>
        <w:rPr>
          <w:rFonts w:hint="eastAsia" w:ascii="宋体" w:hAnsi="宋体" w:cs="仿宋_GB2312"/>
          <w:color w:val="333333"/>
          <w:spacing w:val="6"/>
          <w:sz w:val="30"/>
          <w:szCs w:val="30"/>
          <w:highlight w:val="none"/>
          <w:shd w:val="clear" w:color="auto" w:fill="FFFFFF"/>
        </w:rPr>
        <w:t>.00万元，专项债券预算资金</w:t>
      </w:r>
      <w:r>
        <w:rPr>
          <w:rFonts w:hint="eastAsia" w:ascii="宋体" w:hAnsi="宋体" w:cs="仿宋_GB2312"/>
          <w:color w:val="333333"/>
          <w:spacing w:val="6"/>
          <w:sz w:val="30"/>
          <w:szCs w:val="30"/>
          <w:highlight w:val="none"/>
          <w:shd w:val="clear" w:color="auto" w:fill="FFFFFF"/>
          <w:lang w:val="en-US" w:eastAsia="zh-CN"/>
        </w:rPr>
        <w:t>9</w:t>
      </w:r>
      <w:r>
        <w:rPr>
          <w:rFonts w:hint="eastAsia" w:ascii="宋体" w:hAnsi="宋体" w:cs="仿宋_GB2312"/>
          <w:color w:val="333333"/>
          <w:spacing w:val="6"/>
          <w:sz w:val="30"/>
          <w:szCs w:val="30"/>
          <w:highlight w:val="none"/>
          <w:shd w:val="clear" w:color="auto" w:fill="FFFFFF"/>
        </w:rPr>
        <w:t>,</w:t>
      </w:r>
      <w:r>
        <w:rPr>
          <w:rFonts w:hint="eastAsia" w:ascii="宋体" w:hAnsi="宋体" w:cs="仿宋_GB2312"/>
          <w:color w:val="333333"/>
          <w:spacing w:val="6"/>
          <w:sz w:val="30"/>
          <w:szCs w:val="30"/>
          <w:highlight w:val="none"/>
          <w:shd w:val="clear" w:color="auto" w:fill="FFFFFF"/>
          <w:lang w:val="en-US" w:eastAsia="zh-CN"/>
        </w:rPr>
        <w:t>5</w:t>
      </w:r>
      <w:r>
        <w:rPr>
          <w:rFonts w:hint="eastAsia" w:ascii="宋体" w:hAnsi="宋体" w:cs="仿宋_GB2312"/>
          <w:color w:val="333333"/>
          <w:spacing w:val="6"/>
          <w:sz w:val="30"/>
          <w:szCs w:val="30"/>
          <w:highlight w:val="none"/>
          <w:shd w:val="clear" w:color="auto" w:fill="FFFFFF"/>
        </w:rPr>
        <w:t>00.00万元。实际到位9,515.65万元，资金到位率</w:t>
      </w:r>
      <w:r>
        <w:rPr>
          <w:rFonts w:hint="eastAsia" w:ascii="宋体" w:hAnsi="宋体" w:cs="仿宋_GB2312"/>
          <w:color w:val="333333"/>
          <w:spacing w:val="6"/>
          <w:sz w:val="30"/>
          <w:szCs w:val="30"/>
          <w:highlight w:val="none"/>
          <w:shd w:val="clear" w:color="auto" w:fill="FFFFFF"/>
          <w:lang w:val="en-US" w:eastAsia="zh-CN"/>
        </w:rPr>
        <w:t>100</w:t>
      </w:r>
      <w:r>
        <w:rPr>
          <w:rFonts w:hint="eastAsia" w:ascii="宋体" w:hAnsi="宋体" w:cs="仿宋_GB2312"/>
          <w:color w:val="333333"/>
          <w:spacing w:val="6"/>
          <w:sz w:val="30"/>
          <w:szCs w:val="30"/>
          <w:highlight w:val="none"/>
          <w:shd w:val="clear" w:color="auto" w:fill="FFFFFF"/>
        </w:rPr>
        <w:t>%。</w:t>
      </w:r>
    </w:p>
    <w:p w14:paraId="1EA4DA05">
      <w:pPr>
        <w:pStyle w:val="5"/>
        <w:pageBreakBefore w:val="0"/>
        <w:wordWrap/>
        <w:overflowPunct/>
        <w:topLinePunct w:val="0"/>
        <w:bidi w:val="0"/>
        <w:spacing w:line="600" w:lineRule="exact"/>
        <w:ind w:firstLine="600"/>
        <w:textAlignment w:val="baseline"/>
        <w:rPr>
          <w:rFonts w:ascii="宋体" w:hAnsi="宋体"/>
          <w:highlight w:val="none"/>
        </w:rPr>
      </w:pPr>
      <w:r>
        <w:rPr>
          <w:rFonts w:hint="eastAsia" w:ascii="宋体" w:hAnsi="宋体"/>
          <w:highlight w:val="none"/>
        </w:rPr>
        <w:t>（3）预算执行率</w:t>
      </w:r>
    </w:p>
    <w:p w14:paraId="1BA295CC">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spacing w:val="6"/>
          <w:sz w:val="30"/>
          <w:szCs w:val="30"/>
        </w:rPr>
      </w:pPr>
      <w:r>
        <w:rPr>
          <w:rFonts w:hint="eastAsia" w:ascii="宋体" w:hAnsi="宋体" w:cs="仿宋_GB2312"/>
          <w:color w:val="333333"/>
          <w:spacing w:val="6"/>
          <w:sz w:val="30"/>
          <w:szCs w:val="30"/>
          <w:highlight w:val="none"/>
          <w:shd w:val="clear" w:color="auto" w:fill="FFFFFF"/>
        </w:rPr>
        <w:t>指标分值4分，得4分。202</w:t>
      </w:r>
      <w:r>
        <w:rPr>
          <w:rFonts w:hint="eastAsia" w:ascii="宋体" w:hAnsi="宋体" w:cs="仿宋_GB2312"/>
          <w:color w:val="333333"/>
          <w:spacing w:val="6"/>
          <w:sz w:val="30"/>
          <w:szCs w:val="30"/>
          <w:highlight w:val="none"/>
          <w:shd w:val="clear" w:color="auto" w:fill="FFFFFF"/>
          <w:lang w:val="en-US" w:eastAsia="zh-CN"/>
        </w:rPr>
        <w:t>4</w:t>
      </w:r>
      <w:r>
        <w:rPr>
          <w:rFonts w:hint="eastAsia" w:ascii="宋体" w:hAnsi="宋体" w:cs="仿宋_GB2312"/>
          <w:color w:val="333333"/>
          <w:spacing w:val="6"/>
          <w:sz w:val="30"/>
          <w:szCs w:val="30"/>
          <w:highlight w:val="none"/>
          <w:shd w:val="clear" w:color="auto" w:fill="FFFFFF"/>
        </w:rPr>
        <w:t>年度，本项目预算资金到位9,515.65万元，实际使用9</w:t>
      </w:r>
      <w:r>
        <w:rPr>
          <w:rFonts w:hint="eastAsia" w:ascii="宋体" w:hAnsi="宋体" w:cs="仿宋_GB2312"/>
          <w:color w:val="333333"/>
          <w:spacing w:val="6"/>
          <w:sz w:val="30"/>
          <w:szCs w:val="30"/>
          <w:shd w:val="clear" w:color="auto" w:fill="FFFFFF"/>
        </w:rPr>
        <w:t>,515.65万元，预算执行率为100.00%。</w:t>
      </w:r>
    </w:p>
    <w:p w14:paraId="787E055B">
      <w:pPr>
        <w:pStyle w:val="3"/>
        <w:pageBreakBefore w:val="0"/>
        <w:wordWrap/>
        <w:overflowPunct/>
        <w:topLinePunct w:val="0"/>
        <w:bidi w:val="0"/>
        <w:spacing w:line="600" w:lineRule="exact"/>
        <w:ind w:firstLine="602"/>
        <w:textAlignment w:val="baseline"/>
        <w:rPr>
          <w:rFonts w:ascii="宋体" w:hAnsi="宋体"/>
          <w:highlight w:val="none"/>
        </w:rPr>
      </w:pPr>
      <w:bookmarkStart w:id="101" w:name="_Toc15672"/>
      <w:r>
        <w:rPr>
          <w:rFonts w:hint="eastAsia" w:ascii="宋体" w:hAnsi="宋体"/>
          <w:highlight w:val="none"/>
        </w:rPr>
        <w:t>（三）产出情况分析</w:t>
      </w:r>
      <w:bookmarkEnd w:id="101"/>
    </w:p>
    <w:p w14:paraId="2ADA9CF6">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spacing w:val="6"/>
          <w:sz w:val="30"/>
          <w:szCs w:val="30"/>
          <w:highlight w:val="none"/>
        </w:rPr>
      </w:pPr>
      <w:r>
        <w:rPr>
          <w:rFonts w:hint="eastAsia" w:ascii="宋体" w:hAnsi="宋体" w:cs="仿宋_GB2312"/>
          <w:color w:val="333333"/>
          <w:spacing w:val="6"/>
          <w:sz w:val="30"/>
          <w:szCs w:val="30"/>
          <w:highlight w:val="none"/>
          <w:shd w:val="clear" w:color="auto" w:fill="FFFFFF"/>
        </w:rPr>
        <w:t>“产出”指标涉及二级指标4个，三级指标4个，总分值35分，得分</w:t>
      </w:r>
      <w:r>
        <w:rPr>
          <w:rFonts w:hint="eastAsia" w:ascii="宋体" w:hAnsi="宋体" w:cs="仿宋_GB2312"/>
          <w:color w:val="333333"/>
          <w:spacing w:val="6"/>
          <w:sz w:val="30"/>
          <w:szCs w:val="30"/>
          <w:highlight w:val="none"/>
          <w:shd w:val="clear" w:color="auto" w:fill="FFFFFF"/>
          <w:lang w:val="en-US" w:eastAsia="zh-CN"/>
        </w:rPr>
        <w:t>26</w:t>
      </w:r>
      <w:r>
        <w:rPr>
          <w:rFonts w:hint="eastAsia" w:ascii="宋体" w:hAnsi="宋体" w:cs="仿宋_GB2312"/>
          <w:color w:val="333333"/>
          <w:spacing w:val="6"/>
          <w:sz w:val="30"/>
          <w:szCs w:val="30"/>
          <w:highlight w:val="none"/>
          <w:shd w:val="clear" w:color="auto" w:fill="FFFFFF"/>
        </w:rPr>
        <w:t>分，得分率为</w:t>
      </w:r>
      <w:r>
        <w:rPr>
          <w:rFonts w:hint="eastAsia" w:ascii="宋体" w:hAnsi="宋体" w:cs="仿宋_GB2312"/>
          <w:color w:val="333333"/>
          <w:spacing w:val="6"/>
          <w:sz w:val="30"/>
          <w:szCs w:val="30"/>
          <w:highlight w:val="none"/>
          <w:shd w:val="clear" w:color="auto" w:fill="FFFFFF"/>
          <w:lang w:val="en-US" w:eastAsia="zh-CN"/>
        </w:rPr>
        <w:t>74.29</w:t>
      </w:r>
      <w:r>
        <w:rPr>
          <w:rFonts w:hint="eastAsia" w:ascii="宋体" w:hAnsi="宋体" w:cs="仿宋_GB2312"/>
          <w:color w:val="333333"/>
          <w:spacing w:val="6"/>
          <w:sz w:val="30"/>
          <w:szCs w:val="30"/>
          <w:highlight w:val="none"/>
          <w:shd w:val="clear" w:color="auto" w:fill="FFFFFF"/>
        </w:rPr>
        <w:t>%。</w:t>
      </w:r>
    </w:p>
    <w:p w14:paraId="06D9A690">
      <w:pPr>
        <w:pStyle w:val="4"/>
        <w:pageBreakBefore w:val="0"/>
        <w:wordWrap/>
        <w:overflowPunct/>
        <w:topLinePunct w:val="0"/>
        <w:bidi w:val="0"/>
        <w:spacing w:line="600" w:lineRule="exact"/>
        <w:ind w:firstLine="600"/>
        <w:textAlignment w:val="baseline"/>
        <w:rPr>
          <w:rFonts w:ascii="宋体" w:hAnsi="宋体"/>
          <w:highlight w:val="none"/>
        </w:rPr>
      </w:pPr>
      <w:bookmarkStart w:id="102" w:name="_Toc12281"/>
      <w:bookmarkStart w:id="103" w:name="_Toc13530"/>
      <w:bookmarkStart w:id="104" w:name="_Toc30057"/>
      <w:r>
        <w:rPr>
          <w:rFonts w:hint="eastAsia" w:ascii="宋体" w:hAnsi="宋体"/>
          <w:highlight w:val="none"/>
        </w:rPr>
        <w:t>1.产出数量（满分9分，得分9分）</w:t>
      </w:r>
      <w:bookmarkEnd w:id="102"/>
      <w:bookmarkEnd w:id="103"/>
      <w:bookmarkEnd w:id="104"/>
    </w:p>
    <w:p w14:paraId="6E15776F">
      <w:pPr>
        <w:pStyle w:val="5"/>
        <w:pageBreakBefore w:val="0"/>
        <w:wordWrap/>
        <w:overflowPunct/>
        <w:topLinePunct w:val="0"/>
        <w:bidi w:val="0"/>
        <w:spacing w:line="600" w:lineRule="exact"/>
        <w:ind w:firstLine="600"/>
        <w:textAlignment w:val="baseline"/>
        <w:rPr>
          <w:rFonts w:ascii="宋体" w:hAnsi="宋体"/>
          <w:highlight w:val="none"/>
        </w:rPr>
      </w:pPr>
      <w:r>
        <w:rPr>
          <w:rFonts w:hint="eastAsia" w:ascii="宋体" w:hAnsi="宋体"/>
          <w:highlight w:val="none"/>
        </w:rPr>
        <w:t>工程完工度</w:t>
      </w:r>
    </w:p>
    <w:p w14:paraId="49E96B5A">
      <w:pPr>
        <w:pStyle w:val="11"/>
        <w:pageBreakBefore w:val="0"/>
        <w:widowControl w:val="0"/>
        <w:kinsoku/>
        <w:wordWrap/>
        <w:overflowPunct/>
        <w:topLinePunct w:val="0"/>
        <w:autoSpaceDE/>
        <w:autoSpaceDN/>
        <w:bidi w:val="0"/>
        <w:adjustRightInd/>
        <w:snapToGrid/>
        <w:spacing w:beforeAutospacing="0" w:afterAutospacing="0" w:line="600" w:lineRule="exact"/>
        <w:ind w:firstLine="612"/>
        <w:jc w:val="both"/>
        <w:textAlignment w:val="baseline"/>
        <w:rPr>
          <w:rFonts w:ascii="宋体" w:hAnsi="宋体" w:cs="仿宋_GB2312"/>
          <w:color w:val="333333"/>
          <w:spacing w:val="6"/>
          <w:sz w:val="30"/>
          <w:szCs w:val="30"/>
          <w:highlight w:val="none"/>
          <w:shd w:val="clear" w:color="auto" w:fill="FFFFFF"/>
        </w:rPr>
      </w:pPr>
      <w:r>
        <w:rPr>
          <w:rFonts w:hint="eastAsia" w:ascii="宋体" w:hAnsi="宋体" w:cs="仿宋_GB2312"/>
          <w:color w:val="333333"/>
          <w:spacing w:val="6"/>
          <w:sz w:val="30"/>
          <w:szCs w:val="30"/>
          <w:highlight w:val="none"/>
          <w:shd w:val="clear" w:color="auto" w:fill="FFFFFF"/>
        </w:rPr>
        <w:t>指标分值9分，得9分。本项目截至202</w:t>
      </w:r>
      <w:r>
        <w:rPr>
          <w:rFonts w:hint="eastAsia" w:ascii="宋体" w:hAnsi="宋体" w:cs="仿宋_GB2312"/>
          <w:color w:val="333333"/>
          <w:spacing w:val="6"/>
          <w:sz w:val="30"/>
          <w:szCs w:val="30"/>
          <w:highlight w:val="none"/>
          <w:shd w:val="clear" w:color="auto" w:fill="FFFFFF"/>
          <w:lang w:val="en-US" w:eastAsia="zh-CN"/>
        </w:rPr>
        <w:t>4</w:t>
      </w:r>
      <w:r>
        <w:rPr>
          <w:rFonts w:hint="eastAsia" w:ascii="宋体" w:hAnsi="宋体" w:cs="仿宋_GB2312"/>
          <w:color w:val="333333"/>
          <w:spacing w:val="6"/>
          <w:sz w:val="30"/>
          <w:szCs w:val="30"/>
          <w:highlight w:val="none"/>
          <w:shd w:val="clear" w:color="auto" w:fill="FFFFFF"/>
        </w:rPr>
        <w:t>年末</w:t>
      </w:r>
      <w:r>
        <w:rPr>
          <w:rFonts w:hint="eastAsia" w:ascii="宋体" w:hAnsi="宋体" w:cs="仿宋_GB2312"/>
          <w:color w:val="333333"/>
          <w:spacing w:val="6"/>
          <w:sz w:val="30"/>
          <w:szCs w:val="30"/>
          <w:highlight w:val="none"/>
          <w:shd w:val="clear" w:color="auto" w:fill="FFFFFF"/>
          <w:lang w:val="en-US" w:eastAsia="zh-CN"/>
        </w:rPr>
        <w:t>绩效目标</w:t>
      </w:r>
      <w:r>
        <w:rPr>
          <w:rFonts w:hint="eastAsia" w:ascii="宋体" w:hAnsi="宋体" w:cs="仿宋_GB2312"/>
          <w:color w:val="333333"/>
          <w:spacing w:val="6"/>
          <w:sz w:val="30"/>
          <w:szCs w:val="30"/>
          <w:highlight w:val="none"/>
          <w:shd w:val="clear" w:color="auto" w:fill="FFFFFF"/>
        </w:rPr>
        <w:t>完成项目工程建设进度的</w:t>
      </w:r>
      <w:r>
        <w:rPr>
          <w:rFonts w:hint="eastAsia" w:ascii="宋体" w:hAnsi="宋体" w:cs="仿宋_GB2312"/>
          <w:color w:val="333333"/>
          <w:spacing w:val="6"/>
          <w:sz w:val="30"/>
          <w:szCs w:val="30"/>
          <w:highlight w:val="none"/>
          <w:shd w:val="clear" w:color="auto" w:fill="FFFFFF"/>
          <w:lang w:val="en-US" w:eastAsia="zh-CN"/>
        </w:rPr>
        <w:t>90</w:t>
      </w:r>
      <w:r>
        <w:rPr>
          <w:rFonts w:hint="eastAsia" w:ascii="宋体" w:hAnsi="宋体" w:cs="仿宋_GB2312"/>
          <w:color w:val="333333"/>
          <w:spacing w:val="6"/>
          <w:sz w:val="30"/>
          <w:szCs w:val="30"/>
          <w:highlight w:val="none"/>
          <w:shd w:val="clear" w:color="auto" w:fill="FFFFFF"/>
        </w:rPr>
        <w:t>%，截止2024年末，本项目已完成主体工程，红线内配电工程、红线内外热力工程及换热站安装施工、红线外自来水配套工程等，室内装饰工程、消防工程、通风空调及弱电工程、医疗专项工程、地下室机械车位安装等进入收尾阶段。室外工程已完成约70%，院区围墙、道路绿化景观工程、污水处理设备安装、标识牌安装工作预计2025年5月末全部完成。设立</w:t>
      </w:r>
      <w:r>
        <w:rPr>
          <w:rFonts w:hint="eastAsia" w:ascii="宋体" w:hAnsi="宋体" w:cs="仿宋_GB2312"/>
          <w:color w:val="333333"/>
          <w:spacing w:val="6"/>
          <w:sz w:val="30"/>
          <w:szCs w:val="30"/>
          <w:highlight w:val="none"/>
          <w:shd w:val="clear" w:color="auto" w:fill="FFFFFF"/>
          <w:lang w:val="en-US" w:eastAsia="zh-CN"/>
        </w:rPr>
        <w:t>绩效</w:t>
      </w:r>
      <w:r>
        <w:rPr>
          <w:rFonts w:hint="eastAsia" w:ascii="宋体" w:hAnsi="宋体" w:cs="仿宋_GB2312"/>
          <w:color w:val="333333"/>
          <w:spacing w:val="6"/>
          <w:sz w:val="30"/>
          <w:szCs w:val="30"/>
          <w:highlight w:val="none"/>
          <w:shd w:val="clear" w:color="auto" w:fill="FFFFFF"/>
        </w:rPr>
        <w:t>目标投资规模达到项目总投资额的</w:t>
      </w:r>
      <w:r>
        <w:rPr>
          <w:rFonts w:hint="eastAsia" w:ascii="宋体" w:hAnsi="宋体" w:cs="仿宋_GB2312"/>
          <w:color w:val="333333"/>
          <w:spacing w:val="6"/>
          <w:sz w:val="30"/>
          <w:szCs w:val="30"/>
          <w:highlight w:val="none"/>
          <w:shd w:val="clear" w:color="auto" w:fill="FFFFFF"/>
          <w:lang w:val="en-US" w:eastAsia="zh-CN"/>
        </w:rPr>
        <w:t>75</w:t>
      </w:r>
      <w:r>
        <w:rPr>
          <w:rFonts w:hint="eastAsia" w:ascii="宋体" w:hAnsi="宋体" w:cs="仿宋_GB2312"/>
          <w:color w:val="333333"/>
          <w:spacing w:val="6"/>
          <w:sz w:val="30"/>
          <w:szCs w:val="30"/>
          <w:highlight w:val="none"/>
          <w:shd w:val="clear" w:color="auto" w:fill="FFFFFF"/>
        </w:rPr>
        <w:t>%，截至202</w:t>
      </w:r>
      <w:r>
        <w:rPr>
          <w:rFonts w:hint="eastAsia" w:ascii="宋体" w:hAnsi="宋体" w:cs="仿宋_GB2312"/>
          <w:color w:val="333333"/>
          <w:spacing w:val="6"/>
          <w:sz w:val="30"/>
          <w:szCs w:val="30"/>
          <w:highlight w:val="none"/>
          <w:shd w:val="clear" w:color="auto" w:fill="FFFFFF"/>
          <w:lang w:val="en-US" w:eastAsia="zh-CN"/>
        </w:rPr>
        <w:t>4</w:t>
      </w:r>
      <w:r>
        <w:rPr>
          <w:rFonts w:hint="eastAsia" w:ascii="宋体" w:hAnsi="宋体" w:cs="仿宋_GB2312"/>
          <w:color w:val="333333"/>
          <w:spacing w:val="6"/>
          <w:sz w:val="30"/>
          <w:szCs w:val="30"/>
          <w:highlight w:val="none"/>
          <w:shd w:val="clear" w:color="auto" w:fill="FFFFFF"/>
        </w:rPr>
        <w:t>年末投资规模为17,091.89万元，占总投资规模的22,314.88万元</w:t>
      </w:r>
      <w:r>
        <w:rPr>
          <w:rFonts w:hint="eastAsia" w:ascii="宋体" w:hAnsi="宋体" w:cs="仿宋_GB2312"/>
          <w:color w:val="333333"/>
          <w:spacing w:val="6"/>
          <w:sz w:val="30"/>
          <w:szCs w:val="30"/>
          <w:highlight w:val="none"/>
          <w:shd w:val="clear" w:color="auto" w:fill="FFFFFF"/>
          <w:lang w:val="en-US" w:eastAsia="zh-CN"/>
        </w:rPr>
        <w:t>76.59</w:t>
      </w:r>
      <w:r>
        <w:rPr>
          <w:rFonts w:hint="eastAsia" w:ascii="宋体" w:hAnsi="宋体" w:cs="仿宋_GB2312"/>
          <w:color w:val="333333"/>
          <w:spacing w:val="6"/>
          <w:sz w:val="30"/>
          <w:szCs w:val="30"/>
          <w:highlight w:val="none"/>
          <w:shd w:val="clear" w:color="auto" w:fill="FFFFFF"/>
        </w:rPr>
        <w:t>%,达到计划投资规模。</w:t>
      </w:r>
    </w:p>
    <w:p w14:paraId="3A391123">
      <w:pPr>
        <w:pStyle w:val="4"/>
        <w:pageBreakBefore w:val="0"/>
        <w:wordWrap/>
        <w:overflowPunct/>
        <w:topLinePunct w:val="0"/>
        <w:bidi w:val="0"/>
        <w:spacing w:line="600" w:lineRule="exact"/>
        <w:ind w:firstLine="600"/>
        <w:textAlignment w:val="baseline"/>
        <w:rPr>
          <w:rFonts w:ascii="宋体" w:hAnsi="宋体"/>
        </w:rPr>
      </w:pPr>
      <w:bookmarkStart w:id="105" w:name="_Toc6445"/>
      <w:bookmarkStart w:id="106" w:name="_Toc29659"/>
      <w:bookmarkStart w:id="107" w:name="_Toc13696"/>
      <w:r>
        <w:rPr>
          <w:rFonts w:hint="eastAsia" w:ascii="宋体" w:hAnsi="宋体"/>
        </w:rPr>
        <w:t>2.产出质量（满分9分，得分9分）</w:t>
      </w:r>
      <w:bookmarkEnd w:id="105"/>
      <w:bookmarkEnd w:id="106"/>
      <w:bookmarkEnd w:id="107"/>
    </w:p>
    <w:p w14:paraId="4C9318B2">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质量达标</w:t>
      </w:r>
    </w:p>
    <w:p w14:paraId="697B3389">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hint="eastAsia" w:ascii="宋体" w:hAnsi="宋体" w:cs="仿宋_GB2312"/>
          <w:color w:val="333333"/>
          <w:spacing w:val="6"/>
          <w:sz w:val="30"/>
          <w:szCs w:val="30"/>
          <w:highlight w:val="none"/>
          <w:shd w:val="clear" w:color="auto" w:fill="FFFFFF"/>
        </w:rPr>
      </w:pPr>
      <w:r>
        <w:rPr>
          <w:rFonts w:hint="eastAsia" w:ascii="宋体" w:hAnsi="宋体" w:cs="仿宋_GB2312"/>
          <w:color w:val="333333"/>
          <w:spacing w:val="6"/>
          <w:sz w:val="30"/>
          <w:szCs w:val="30"/>
          <w:highlight w:val="none"/>
          <w:shd w:val="clear" w:color="auto" w:fill="FFFFFF"/>
        </w:rPr>
        <w:t>指标分值9分，得9分。依据长春市宽城区中医院提供的情况说明，本项目在建工程施工现场安全质量管理到位，材料送检全部合格，符合国家相关行业的质量检测标准，不存在其他隐患。</w:t>
      </w:r>
      <w:bookmarkStart w:id="108" w:name="_Toc25935"/>
      <w:bookmarkStart w:id="109" w:name="_Toc16283"/>
      <w:bookmarkStart w:id="110" w:name="_Toc26184"/>
    </w:p>
    <w:p w14:paraId="7CA35B17">
      <w:pPr>
        <w:pStyle w:val="11"/>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600" w:lineRule="exact"/>
        <w:ind w:firstLine="600" w:firstLineChars="200"/>
        <w:textAlignment w:val="baseline"/>
        <w:rPr>
          <w:rFonts w:hint="eastAsia" w:ascii="宋体" w:hAnsi="宋体" w:eastAsia="仿宋_GB2312" w:cs="Arial"/>
          <w:snapToGrid w:val="0"/>
          <w:color w:val="000000"/>
          <w:sz w:val="30"/>
          <w:szCs w:val="21"/>
          <w:lang w:val="en-US" w:eastAsia="zh-CN" w:bidi="ar-SA"/>
        </w:rPr>
      </w:pPr>
      <w:r>
        <w:rPr>
          <w:rFonts w:hint="eastAsia" w:ascii="宋体" w:hAnsi="宋体" w:eastAsia="仿宋_GB2312" w:cs="Arial"/>
          <w:snapToGrid w:val="0"/>
          <w:color w:val="000000"/>
          <w:sz w:val="30"/>
          <w:szCs w:val="21"/>
          <w:lang w:val="en-US" w:eastAsia="zh-CN" w:bidi="ar-SA"/>
        </w:rPr>
        <w:t>产出时效（满分8分，得分</w:t>
      </w:r>
      <w:r>
        <w:rPr>
          <w:rFonts w:hint="eastAsia" w:ascii="宋体" w:hAnsi="宋体" w:cs="Arial"/>
          <w:snapToGrid w:val="0"/>
          <w:color w:val="000000"/>
          <w:sz w:val="30"/>
          <w:szCs w:val="21"/>
          <w:lang w:val="en-US" w:eastAsia="zh-CN" w:bidi="ar-SA"/>
        </w:rPr>
        <w:t>2</w:t>
      </w:r>
      <w:r>
        <w:rPr>
          <w:rFonts w:hint="eastAsia" w:ascii="宋体" w:hAnsi="宋体" w:eastAsia="仿宋_GB2312" w:cs="Arial"/>
          <w:snapToGrid w:val="0"/>
          <w:color w:val="000000"/>
          <w:sz w:val="30"/>
          <w:szCs w:val="21"/>
          <w:lang w:val="en-US" w:eastAsia="zh-CN" w:bidi="ar-SA"/>
        </w:rPr>
        <w:t>分）</w:t>
      </w:r>
      <w:bookmarkEnd w:id="108"/>
      <w:bookmarkEnd w:id="109"/>
      <w:bookmarkEnd w:id="110"/>
    </w:p>
    <w:p w14:paraId="312F815C">
      <w:pPr>
        <w:pStyle w:val="1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00" w:firstLineChars="200"/>
        <w:textAlignment w:val="baseline"/>
        <w:rPr>
          <w:rFonts w:hint="eastAsia" w:ascii="宋体" w:hAnsi="宋体" w:eastAsia="仿宋_GB2312" w:cs="Arial"/>
          <w:snapToGrid w:val="0"/>
          <w:color w:val="000000"/>
          <w:sz w:val="30"/>
          <w:szCs w:val="21"/>
          <w:lang w:val="en-US" w:eastAsia="zh-CN" w:bidi="ar-SA"/>
        </w:rPr>
      </w:pPr>
      <w:r>
        <w:rPr>
          <w:rFonts w:hint="eastAsia" w:ascii="宋体" w:hAnsi="宋体" w:eastAsia="仿宋_GB2312" w:cs="Arial"/>
          <w:snapToGrid w:val="0"/>
          <w:color w:val="000000"/>
          <w:sz w:val="30"/>
          <w:szCs w:val="21"/>
          <w:lang w:val="en-US" w:eastAsia="zh-CN" w:bidi="ar-SA"/>
        </w:rPr>
        <w:t>开工竣工及时率</w:t>
      </w:r>
    </w:p>
    <w:p w14:paraId="13AAF1FF">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highlight w:val="none"/>
          <w:shd w:val="clear" w:color="auto" w:fill="FFFFFF"/>
        </w:rPr>
      </w:pPr>
      <w:r>
        <w:rPr>
          <w:rFonts w:hint="eastAsia" w:ascii="宋体" w:hAnsi="宋体" w:cs="仿宋_GB2312"/>
          <w:color w:val="333333"/>
          <w:spacing w:val="6"/>
          <w:sz w:val="30"/>
          <w:szCs w:val="30"/>
          <w:highlight w:val="none"/>
          <w:shd w:val="clear" w:color="auto" w:fill="FFFFFF"/>
        </w:rPr>
        <w:t>指标分值8分，得分</w:t>
      </w:r>
      <w:r>
        <w:rPr>
          <w:rFonts w:hint="eastAsia" w:ascii="宋体" w:hAnsi="宋体" w:cs="仿宋_GB2312"/>
          <w:color w:val="333333"/>
          <w:spacing w:val="6"/>
          <w:sz w:val="30"/>
          <w:szCs w:val="30"/>
          <w:highlight w:val="none"/>
          <w:shd w:val="clear" w:color="auto" w:fill="FFFFFF"/>
          <w:lang w:val="en-US" w:eastAsia="zh-CN"/>
        </w:rPr>
        <w:t>2</w:t>
      </w:r>
      <w:r>
        <w:rPr>
          <w:rFonts w:hint="eastAsia" w:ascii="宋体" w:hAnsi="宋体" w:cs="仿宋_GB2312"/>
          <w:color w:val="333333"/>
          <w:spacing w:val="6"/>
          <w:sz w:val="30"/>
          <w:szCs w:val="30"/>
          <w:highlight w:val="none"/>
          <w:shd w:val="clear" w:color="auto" w:fill="FFFFFF"/>
        </w:rPr>
        <w:t>分，扣</w:t>
      </w:r>
      <w:r>
        <w:rPr>
          <w:rFonts w:hint="eastAsia" w:ascii="宋体" w:hAnsi="宋体" w:cs="仿宋_GB2312"/>
          <w:color w:val="333333"/>
          <w:spacing w:val="6"/>
          <w:sz w:val="30"/>
          <w:szCs w:val="30"/>
          <w:highlight w:val="none"/>
          <w:shd w:val="clear" w:color="auto" w:fill="FFFFFF"/>
          <w:lang w:val="en-US" w:eastAsia="zh-CN"/>
        </w:rPr>
        <w:t>6</w:t>
      </w:r>
      <w:r>
        <w:rPr>
          <w:rFonts w:hint="eastAsia" w:ascii="宋体" w:hAnsi="宋体" w:cs="仿宋_GB2312"/>
          <w:color w:val="333333"/>
          <w:spacing w:val="6"/>
          <w:sz w:val="30"/>
          <w:szCs w:val="30"/>
          <w:highlight w:val="none"/>
          <w:shd w:val="clear" w:color="auto" w:fill="FFFFFF"/>
        </w:rPr>
        <w:t>分。</w:t>
      </w:r>
      <w:r>
        <w:rPr>
          <w:rFonts w:hint="eastAsia" w:ascii="宋体" w:hAnsi="宋体" w:cs="仿宋_GB2312"/>
          <w:color w:val="333333"/>
          <w:spacing w:val="6"/>
          <w:sz w:val="30"/>
          <w:szCs w:val="30"/>
          <w:highlight w:val="none"/>
          <w:shd w:val="clear" w:color="auto" w:fill="FFFFFF"/>
          <w:lang w:val="en-US" w:eastAsia="zh-CN"/>
        </w:rPr>
        <w:t>本项目不存在因</w:t>
      </w:r>
      <w:r>
        <w:rPr>
          <w:rFonts w:hint="eastAsia" w:ascii="宋体" w:hAnsi="宋体" w:cs="仿宋_GB2312"/>
          <w:color w:val="333333"/>
          <w:spacing w:val="6"/>
          <w:sz w:val="30"/>
          <w:szCs w:val="30"/>
          <w:highlight w:val="none"/>
          <w:shd w:val="clear" w:color="auto" w:fill="FFFFFF"/>
        </w:rPr>
        <w:t>资金拨付不及时影响项目进度</w:t>
      </w:r>
      <w:r>
        <w:rPr>
          <w:rFonts w:hint="eastAsia" w:ascii="宋体" w:hAnsi="宋体" w:cs="仿宋_GB2312"/>
          <w:color w:val="333333"/>
          <w:spacing w:val="6"/>
          <w:sz w:val="30"/>
          <w:szCs w:val="30"/>
          <w:highlight w:val="none"/>
          <w:shd w:val="clear" w:color="auto" w:fill="FFFFFF"/>
          <w:lang w:val="en-US" w:eastAsia="zh-CN"/>
        </w:rPr>
        <w:t>的情况；</w:t>
      </w:r>
      <w:r>
        <w:rPr>
          <w:rFonts w:hint="eastAsia" w:ascii="宋体" w:hAnsi="宋体" w:cs="仿宋_GB2312"/>
          <w:color w:val="333333"/>
          <w:spacing w:val="6"/>
          <w:sz w:val="30"/>
          <w:szCs w:val="30"/>
          <w:highlight w:val="none"/>
          <w:shd w:val="clear" w:color="auto" w:fill="FFFFFF"/>
        </w:rPr>
        <w:t>根据《关于调整长春市宽城区卫生综合体建设项目建设期限的通知》（长宽发改字【2021】157号），本项目建设工期为自2021年10月起至2024年10月止；根据签订的《开工报告》，本项目于2022年7月开工建设，未按期限开工</w:t>
      </w:r>
      <w:r>
        <w:rPr>
          <w:rFonts w:hint="eastAsia" w:ascii="宋体" w:hAnsi="宋体" w:cs="仿宋_GB2312"/>
          <w:color w:val="333333"/>
          <w:spacing w:val="6"/>
          <w:sz w:val="30"/>
          <w:szCs w:val="30"/>
          <w:highlight w:val="none"/>
          <w:shd w:val="clear" w:color="auto" w:fill="FFFFFF"/>
          <w:lang w:val="en-US" w:eastAsia="zh-CN"/>
        </w:rPr>
        <w:t>扣3分；截止2024年10月项目未完工</w:t>
      </w:r>
      <w:r>
        <w:rPr>
          <w:rFonts w:hint="eastAsia" w:ascii="宋体" w:hAnsi="宋体" w:cs="仿宋_GB2312"/>
          <w:color w:val="333333"/>
          <w:spacing w:val="6"/>
          <w:sz w:val="30"/>
          <w:szCs w:val="30"/>
          <w:highlight w:val="none"/>
          <w:shd w:val="clear" w:color="auto" w:fill="FFFFFF"/>
        </w:rPr>
        <w:t>，扣</w:t>
      </w:r>
      <w:r>
        <w:rPr>
          <w:rFonts w:hint="eastAsia" w:ascii="宋体" w:hAnsi="宋体" w:cs="仿宋_GB2312"/>
          <w:color w:val="333333"/>
          <w:spacing w:val="6"/>
          <w:sz w:val="30"/>
          <w:szCs w:val="30"/>
          <w:highlight w:val="none"/>
          <w:shd w:val="clear" w:color="auto" w:fill="FFFFFF"/>
          <w:lang w:val="en-US" w:eastAsia="zh-CN"/>
        </w:rPr>
        <w:t>3</w:t>
      </w:r>
      <w:r>
        <w:rPr>
          <w:rFonts w:hint="eastAsia" w:ascii="宋体" w:hAnsi="宋体" w:cs="仿宋_GB2312"/>
          <w:color w:val="333333"/>
          <w:spacing w:val="6"/>
          <w:sz w:val="30"/>
          <w:szCs w:val="30"/>
          <w:highlight w:val="none"/>
          <w:shd w:val="clear" w:color="auto" w:fill="FFFFFF"/>
        </w:rPr>
        <w:t>分。</w:t>
      </w:r>
    </w:p>
    <w:p w14:paraId="50730F4C">
      <w:pPr>
        <w:pStyle w:val="4"/>
        <w:pageBreakBefore w:val="0"/>
        <w:wordWrap/>
        <w:overflowPunct/>
        <w:topLinePunct w:val="0"/>
        <w:bidi w:val="0"/>
        <w:spacing w:line="600" w:lineRule="exact"/>
        <w:ind w:firstLine="600"/>
        <w:textAlignment w:val="baseline"/>
        <w:rPr>
          <w:rFonts w:ascii="宋体" w:hAnsi="宋体"/>
        </w:rPr>
      </w:pPr>
      <w:bookmarkStart w:id="111" w:name="_Toc19320"/>
      <w:bookmarkStart w:id="112" w:name="_Toc29406"/>
      <w:bookmarkStart w:id="113" w:name="_Toc1845"/>
      <w:r>
        <w:rPr>
          <w:rFonts w:hint="eastAsia" w:ascii="宋体" w:hAnsi="宋体"/>
        </w:rPr>
        <w:t>4.产出成本（满分9分，得分6分）</w:t>
      </w:r>
      <w:bookmarkEnd w:id="111"/>
      <w:bookmarkEnd w:id="112"/>
      <w:bookmarkEnd w:id="113"/>
    </w:p>
    <w:p w14:paraId="5D75A71A">
      <w:pPr>
        <w:pStyle w:val="5"/>
        <w:pageBreakBefore w:val="0"/>
        <w:wordWrap/>
        <w:overflowPunct/>
        <w:topLinePunct w:val="0"/>
        <w:bidi w:val="0"/>
        <w:spacing w:line="600" w:lineRule="exact"/>
        <w:ind w:firstLine="600"/>
        <w:textAlignment w:val="baseline"/>
        <w:rPr>
          <w:rFonts w:ascii="宋体" w:hAnsi="宋体"/>
        </w:rPr>
      </w:pPr>
      <w:r>
        <w:rPr>
          <w:rFonts w:hint="eastAsia" w:ascii="宋体" w:hAnsi="宋体"/>
        </w:rPr>
        <w:t>成本使用</w:t>
      </w:r>
    </w:p>
    <w:p w14:paraId="47DD059A">
      <w:pPr>
        <w:pStyle w:val="11"/>
        <w:pageBreakBefore w:val="0"/>
        <w:widowControl w:val="0"/>
        <w:kinsoku/>
        <w:wordWrap/>
        <w:overflowPunct/>
        <w:topLinePunct w:val="0"/>
        <w:autoSpaceDE/>
        <w:autoSpaceDN/>
        <w:bidi w:val="0"/>
        <w:adjustRightInd/>
        <w:snapToGrid/>
        <w:spacing w:beforeAutospacing="0" w:afterAutospacing="0" w:line="600" w:lineRule="exact"/>
        <w:ind w:firstLine="612"/>
        <w:jc w:val="both"/>
        <w:textAlignment w:val="baseline"/>
        <w:rPr>
          <w:rFonts w:ascii="宋体" w:hAnsi="宋体" w:cs="仿宋_GB2312"/>
          <w:color w:val="333333"/>
          <w:spacing w:val="6"/>
          <w:sz w:val="30"/>
          <w:szCs w:val="30"/>
          <w:highlight w:val="none"/>
          <w:shd w:val="clear" w:color="auto" w:fill="FFFFFF"/>
        </w:rPr>
      </w:pPr>
      <w:r>
        <w:rPr>
          <w:rFonts w:hint="eastAsia" w:ascii="宋体" w:hAnsi="宋体" w:cs="仿宋_GB2312"/>
          <w:color w:val="333333"/>
          <w:spacing w:val="6"/>
          <w:sz w:val="30"/>
          <w:szCs w:val="30"/>
          <w:shd w:val="clear" w:color="auto" w:fill="FFFFFF"/>
        </w:rPr>
        <w:t>指标分值9分，得分6分，扣3</w:t>
      </w:r>
      <w:r>
        <w:rPr>
          <w:rFonts w:hint="eastAsia" w:ascii="宋体" w:hAnsi="宋体" w:cs="仿宋_GB2312"/>
          <w:color w:val="333333"/>
          <w:spacing w:val="6"/>
          <w:sz w:val="30"/>
          <w:szCs w:val="30"/>
          <w:highlight w:val="none"/>
          <w:shd w:val="clear" w:color="auto" w:fill="FFFFFF"/>
        </w:rPr>
        <w:t>分。本项目</w:t>
      </w:r>
      <w:r>
        <w:rPr>
          <w:rFonts w:hint="eastAsia" w:ascii="宋体" w:hAnsi="宋体" w:cs="仿宋_GB2312"/>
          <w:color w:val="333333"/>
          <w:spacing w:val="6"/>
          <w:sz w:val="30"/>
          <w:szCs w:val="30"/>
          <w:highlight w:val="none"/>
          <w:shd w:val="clear" w:color="auto" w:fill="FFFFFF"/>
          <w:lang w:val="en-US" w:eastAsia="zh-CN"/>
        </w:rPr>
        <w:t>已拨付</w:t>
      </w:r>
      <w:r>
        <w:rPr>
          <w:rFonts w:hint="eastAsia" w:ascii="宋体" w:hAnsi="宋体" w:cs="仿宋_GB2312"/>
          <w:color w:val="333333"/>
          <w:spacing w:val="6"/>
          <w:sz w:val="30"/>
          <w:szCs w:val="30"/>
          <w:highlight w:val="none"/>
          <w:shd w:val="clear" w:color="auto" w:fill="FFFFFF"/>
        </w:rPr>
        <w:t>专项债券资金已</w:t>
      </w:r>
      <w:r>
        <w:rPr>
          <w:rFonts w:hint="eastAsia" w:ascii="宋体" w:hAnsi="宋体" w:cs="仿宋_GB2312"/>
          <w:color w:val="333333"/>
          <w:spacing w:val="6"/>
          <w:sz w:val="30"/>
          <w:szCs w:val="30"/>
          <w:highlight w:val="none"/>
          <w:shd w:val="clear" w:color="auto" w:fill="FFFFFF"/>
          <w:lang w:val="en-US" w:eastAsia="zh-CN"/>
        </w:rPr>
        <w:t>全部执行</w:t>
      </w:r>
      <w:r>
        <w:rPr>
          <w:rFonts w:hint="eastAsia" w:ascii="宋体" w:hAnsi="宋体" w:cs="仿宋_GB2312"/>
          <w:color w:val="333333"/>
          <w:spacing w:val="6"/>
          <w:sz w:val="30"/>
          <w:szCs w:val="30"/>
          <w:highlight w:val="none"/>
          <w:shd w:val="clear" w:color="auto" w:fill="FFFFFF"/>
        </w:rPr>
        <w:t>，且资本金已按照绩效目标拨付。</w:t>
      </w:r>
      <w:r>
        <w:rPr>
          <w:rFonts w:hint="eastAsia" w:ascii="宋体" w:hAnsi="宋体" w:cs="仿宋_GB2312"/>
          <w:color w:val="333333"/>
          <w:spacing w:val="6"/>
          <w:sz w:val="30"/>
          <w:szCs w:val="30"/>
          <w:highlight w:val="none"/>
          <w:shd w:val="clear" w:color="auto" w:fill="FFFFFF"/>
          <w:lang w:val="en-US" w:eastAsia="zh-CN"/>
        </w:rPr>
        <w:t>与</w:t>
      </w:r>
      <w:r>
        <w:rPr>
          <w:rFonts w:hint="eastAsia" w:ascii="宋体" w:hAnsi="宋体" w:cs="仿宋_GB2312"/>
          <w:color w:val="333333"/>
          <w:spacing w:val="6"/>
          <w:sz w:val="30"/>
          <w:szCs w:val="30"/>
          <w:highlight w:val="none"/>
          <w:shd w:val="clear" w:color="auto" w:fill="FFFFFF"/>
        </w:rPr>
        <w:t>中铁七局集团第三工程有限公司</w:t>
      </w:r>
      <w:r>
        <w:rPr>
          <w:rFonts w:hint="eastAsia" w:ascii="宋体" w:hAnsi="宋体" w:cs="仿宋_GB2312"/>
          <w:color w:val="333333"/>
          <w:spacing w:val="6"/>
          <w:sz w:val="30"/>
          <w:szCs w:val="30"/>
          <w:highlight w:val="none"/>
          <w:shd w:val="clear" w:color="auto" w:fill="FFFFFF"/>
          <w:lang w:val="en-US" w:eastAsia="zh-CN"/>
        </w:rPr>
        <w:t>签订的本项目工程施工合同金额13,163.37万元，截止2024年已支付12,795.83万元，支付比率达到97.21%，超合同约定比例</w:t>
      </w:r>
      <w:r>
        <w:rPr>
          <w:rFonts w:hint="eastAsia" w:ascii="宋体" w:hAnsi="宋体" w:cs="仿宋_GB2312"/>
          <w:color w:val="333333"/>
          <w:spacing w:val="6"/>
          <w:sz w:val="30"/>
          <w:szCs w:val="30"/>
          <w:highlight w:val="none"/>
          <w:shd w:val="clear" w:color="auto" w:fill="FFFFFF"/>
        </w:rPr>
        <w:t>，未按</w:t>
      </w:r>
      <w:r>
        <w:rPr>
          <w:rFonts w:hint="eastAsia" w:ascii="宋体" w:hAnsi="宋体" w:cs="仿宋_GB2312"/>
          <w:color w:val="333333"/>
          <w:spacing w:val="6"/>
          <w:sz w:val="30"/>
          <w:szCs w:val="30"/>
          <w:highlight w:val="none"/>
          <w:shd w:val="clear" w:color="auto" w:fill="FFFFFF"/>
          <w:lang w:val="en-US" w:eastAsia="zh-CN"/>
        </w:rPr>
        <w:t>合同约定及</w:t>
      </w:r>
      <w:r>
        <w:rPr>
          <w:rFonts w:hint="eastAsia" w:ascii="宋体" w:hAnsi="宋体" w:cs="仿宋_GB2312"/>
          <w:color w:val="333333"/>
          <w:spacing w:val="6"/>
          <w:sz w:val="30"/>
          <w:szCs w:val="30"/>
          <w:highlight w:val="none"/>
          <w:shd w:val="clear" w:color="auto" w:fill="FFFFFF"/>
        </w:rPr>
        <w:t>工程进度支付工程款，扣3分。</w:t>
      </w:r>
    </w:p>
    <w:p w14:paraId="1B5CF66E">
      <w:pPr>
        <w:pStyle w:val="3"/>
        <w:keepNext w:val="0"/>
        <w:keepLines w:val="0"/>
        <w:pageBreakBefore w:val="0"/>
        <w:widowControl w:val="0"/>
        <w:wordWrap/>
        <w:overflowPunct/>
        <w:topLinePunct w:val="0"/>
        <w:bidi w:val="0"/>
        <w:spacing w:line="600" w:lineRule="exact"/>
        <w:ind w:firstLine="602"/>
        <w:textAlignment w:val="baseline"/>
        <w:rPr>
          <w:rFonts w:ascii="宋体" w:hAnsi="宋体"/>
        </w:rPr>
      </w:pPr>
      <w:bookmarkStart w:id="114" w:name="_Toc16221"/>
      <w:r>
        <w:rPr>
          <w:rFonts w:hint="eastAsia" w:ascii="宋体" w:hAnsi="宋体"/>
        </w:rPr>
        <w:t>（四）效益情况分析</w:t>
      </w:r>
      <w:bookmarkEnd w:id="114"/>
    </w:p>
    <w:p w14:paraId="6882D5DA">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“效益”指标涉及二级指标5个，三级指标5个，总分值20分，得分20分，得分率100.00%。</w:t>
      </w:r>
      <w:bookmarkStart w:id="115" w:name="_Toc27842"/>
      <w:bookmarkStart w:id="116" w:name="_Toc10299"/>
    </w:p>
    <w:p w14:paraId="57A90BA4">
      <w:pPr>
        <w:pStyle w:val="11"/>
        <w:pageBreakBefore w:val="0"/>
        <w:widowControl w:val="0"/>
        <w:kinsoku/>
        <w:wordWrap/>
        <w:overflowPunct/>
        <w:topLinePunct w:val="0"/>
        <w:autoSpaceDE/>
        <w:autoSpaceDN/>
        <w:bidi w:val="0"/>
        <w:adjustRightInd/>
        <w:snapToGrid/>
        <w:spacing w:beforeAutospacing="0" w:afterAutospacing="0" w:line="600" w:lineRule="exact"/>
        <w:ind w:firstLine="612"/>
        <w:textAlignment w:val="baseline"/>
        <w:rPr>
          <w:rFonts w:ascii="宋体" w:hAnsi="宋体" w:cs="仿宋_GB2312"/>
          <w:color w:val="333333"/>
          <w:spacing w:val="6"/>
          <w:sz w:val="30"/>
          <w:szCs w:val="30"/>
          <w:shd w:val="clear" w:color="auto" w:fill="FFFFFF"/>
        </w:rPr>
      </w:pPr>
      <w:r>
        <w:rPr>
          <w:rFonts w:hint="eastAsia" w:ascii="宋体" w:hAnsi="宋体" w:cs="仿宋_GB2312"/>
          <w:color w:val="333333"/>
          <w:spacing w:val="6"/>
          <w:sz w:val="30"/>
          <w:szCs w:val="30"/>
          <w:shd w:val="clear" w:color="auto" w:fill="FFFFFF"/>
        </w:rPr>
        <w:t>1.社会效益（满分4分，得分4分）</w:t>
      </w:r>
    </w:p>
    <w:p w14:paraId="23091247">
      <w:pPr>
        <w:pStyle w:val="4"/>
        <w:keepNext w:val="0"/>
        <w:keepLines w:val="0"/>
        <w:pageBreakBefore w:val="0"/>
        <w:widowControl w:val="0"/>
        <w:wordWrap/>
        <w:overflowPunct/>
        <w:topLinePunct w:val="0"/>
        <w:bidi w:val="0"/>
        <w:spacing w:line="600" w:lineRule="exact"/>
        <w:ind w:firstLine="600"/>
        <w:textAlignment w:val="baseline"/>
        <w:rPr>
          <w:rFonts w:ascii="宋体" w:hAnsi="宋体"/>
        </w:rPr>
      </w:pPr>
      <w:bookmarkStart w:id="117" w:name="_Toc22842"/>
      <w:r>
        <w:rPr>
          <w:rFonts w:hint="eastAsia" w:ascii="宋体" w:hAnsi="宋体"/>
        </w:rPr>
        <w:t>社会影响度</w:t>
      </w:r>
      <w:bookmarkEnd w:id="117"/>
    </w:p>
    <w:p w14:paraId="280B14FC">
      <w:pPr>
        <w:pStyle w:val="4"/>
        <w:keepNext w:val="0"/>
        <w:keepLines w:val="0"/>
        <w:pageBreakBefore w:val="0"/>
        <w:widowControl w:val="0"/>
        <w:wordWrap/>
        <w:overflowPunct/>
        <w:topLinePunct w:val="0"/>
        <w:bidi w:val="0"/>
        <w:spacing w:line="600" w:lineRule="exact"/>
        <w:ind w:firstLine="600"/>
        <w:textAlignment w:val="baseline"/>
        <w:rPr>
          <w:rFonts w:ascii="宋体" w:hAnsi="宋体"/>
        </w:rPr>
      </w:pPr>
      <w:bookmarkStart w:id="118" w:name="_Toc27436"/>
      <w:bookmarkStart w:id="119" w:name="_Toc9415"/>
      <w:bookmarkStart w:id="120" w:name="_Toc14081"/>
      <w:r>
        <w:rPr>
          <w:rFonts w:hint="eastAsia" w:ascii="宋体" w:hAnsi="宋体"/>
        </w:rPr>
        <w:t>指标分值4分，得4分。本项目对完善宽城区医疗机构设置规划和宽城区医疗发展具有极大的推动作用，对促进宽城区的社会事业发展极为有利。本项目有较好的社会效益。加强公共医疗卫生基础设施建设，有利于满足人们对医疗保健、住院环境的更高要求，改善医疗环境和布局，发展宽城区医疗卫生事业；能提高宽城区人民群众基本医疗保健满足程度，有利于推进宽城区新型农村合作医疗试点工作。同时，能有效促进宽城区医疗卫生服务体系建设，完善服务功能、增强服务能力、提高服务质量、降低药品价格，使广大群众的疾病能及时得到医治，有地方看病，方便看病，而且价格实惠。</w:t>
      </w:r>
      <w:bookmarkEnd w:id="118"/>
      <w:bookmarkEnd w:id="119"/>
      <w:bookmarkEnd w:id="120"/>
    </w:p>
    <w:p w14:paraId="6D646E8E">
      <w:pPr>
        <w:pStyle w:val="4"/>
        <w:keepNext w:val="0"/>
        <w:keepLines w:val="0"/>
        <w:pageBreakBefore w:val="0"/>
        <w:widowControl w:val="0"/>
        <w:wordWrap/>
        <w:overflowPunct/>
        <w:topLinePunct w:val="0"/>
        <w:bidi w:val="0"/>
        <w:spacing w:line="600" w:lineRule="exact"/>
        <w:ind w:firstLine="600"/>
        <w:textAlignment w:val="baseline"/>
        <w:rPr>
          <w:rFonts w:ascii="宋体" w:hAnsi="宋体"/>
        </w:rPr>
      </w:pPr>
      <w:bookmarkStart w:id="121" w:name="_Toc24390"/>
      <w:r>
        <w:rPr>
          <w:rFonts w:hint="eastAsia" w:ascii="宋体" w:hAnsi="宋体"/>
        </w:rPr>
        <w:t>2.经济效益（满分4分，得分4分）</w:t>
      </w:r>
      <w:bookmarkEnd w:id="121"/>
    </w:p>
    <w:p w14:paraId="5E5CA689">
      <w:pPr>
        <w:pStyle w:val="4"/>
        <w:keepNext w:val="0"/>
        <w:keepLines w:val="0"/>
        <w:pageBreakBefore w:val="0"/>
        <w:widowControl w:val="0"/>
        <w:wordWrap/>
        <w:overflowPunct/>
        <w:topLinePunct w:val="0"/>
        <w:bidi w:val="0"/>
        <w:spacing w:line="600" w:lineRule="exact"/>
        <w:ind w:firstLine="600"/>
        <w:textAlignment w:val="baseline"/>
        <w:rPr>
          <w:rFonts w:ascii="宋体" w:hAnsi="宋体"/>
        </w:rPr>
      </w:pPr>
      <w:bookmarkStart w:id="122" w:name="_Toc27410"/>
      <w:bookmarkStart w:id="123" w:name="_Toc5787"/>
      <w:r>
        <w:rPr>
          <w:rFonts w:hint="eastAsia" w:ascii="宋体" w:hAnsi="宋体"/>
        </w:rPr>
        <w:t>经济带动</w:t>
      </w:r>
      <w:bookmarkEnd w:id="122"/>
      <w:bookmarkEnd w:id="123"/>
    </w:p>
    <w:p w14:paraId="3C423B2C">
      <w:pPr>
        <w:pStyle w:val="4"/>
        <w:keepNext w:val="0"/>
        <w:keepLines w:val="0"/>
        <w:pageBreakBefore w:val="0"/>
        <w:widowControl w:val="0"/>
        <w:kinsoku w:val="0"/>
        <w:wordWrap/>
        <w:overflowPunct/>
        <w:topLinePunct w:val="0"/>
        <w:autoSpaceDE w:val="0"/>
        <w:autoSpaceDN w:val="0"/>
        <w:bidi w:val="0"/>
        <w:adjustRightInd w:val="0"/>
        <w:snapToGrid w:val="0"/>
        <w:spacing w:line="600" w:lineRule="exact"/>
        <w:ind w:firstLine="600"/>
        <w:jc w:val="both"/>
        <w:textAlignment w:val="baseline"/>
        <w:rPr>
          <w:rFonts w:ascii="宋体" w:hAnsi="宋体"/>
        </w:rPr>
      </w:pPr>
      <w:bookmarkStart w:id="124" w:name="_Toc28297"/>
      <w:bookmarkStart w:id="125" w:name="_Toc16729"/>
      <w:r>
        <w:rPr>
          <w:rFonts w:hint="eastAsia" w:ascii="宋体" w:hAnsi="宋体"/>
        </w:rPr>
        <w:t>指标分值4分，得4分。根据收益与融资平衡方案，本项目本项目收入主要由住院收入、门诊收入、财政补贴收入、其他收入等组成。项目预测期实现门诊收入</w:t>
      </w:r>
      <w:r>
        <w:rPr>
          <w:rFonts w:hint="eastAsia" w:ascii="宋体" w:hAnsi="宋体"/>
          <w:lang w:val="en-US" w:eastAsia="zh-CN"/>
        </w:rPr>
        <w:t>44</w:t>
      </w:r>
      <w:r>
        <w:rPr>
          <w:rFonts w:hint="eastAsia" w:ascii="宋体" w:hAnsi="宋体"/>
        </w:rPr>
        <w:t>,</w:t>
      </w:r>
      <w:r>
        <w:rPr>
          <w:rFonts w:hint="eastAsia" w:ascii="宋体" w:hAnsi="宋体"/>
          <w:lang w:val="en-US" w:eastAsia="zh-CN"/>
        </w:rPr>
        <w:t>558.93</w:t>
      </w:r>
      <w:r>
        <w:rPr>
          <w:rFonts w:hint="eastAsia" w:ascii="宋体" w:hAnsi="宋体"/>
        </w:rPr>
        <w:t>万元、住院收入</w:t>
      </w:r>
      <w:r>
        <w:rPr>
          <w:rFonts w:hint="eastAsia" w:ascii="宋体" w:hAnsi="宋体"/>
          <w:lang w:val="en-US" w:eastAsia="zh-CN"/>
        </w:rPr>
        <w:t>55</w:t>
      </w:r>
      <w:r>
        <w:rPr>
          <w:rFonts w:hint="eastAsia" w:ascii="宋体" w:hAnsi="宋体"/>
        </w:rPr>
        <w:t>,</w:t>
      </w:r>
      <w:r>
        <w:rPr>
          <w:rFonts w:hint="eastAsia" w:ascii="宋体" w:hAnsi="宋体"/>
          <w:lang w:val="en-US" w:eastAsia="zh-CN"/>
        </w:rPr>
        <w:t>267.84</w:t>
      </w:r>
      <w:r>
        <w:rPr>
          <w:rFonts w:hint="eastAsia" w:ascii="宋体" w:hAnsi="宋体"/>
        </w:rPr>
        <w:t>万元和政府补助收入1</w:t>
      </w:r>
      <w:r>
        <w:rPr>
          <w:rFonts w:hint="eastAsia" w:ascii="宋体" w:hAnsi="宋体"/>
          <w:lang w:val="en-US" w:eastAsia="zh-CN"/>
        </w:rPr>
        <w:t>0</w:t>
      </w:r>
      <w:r>
        <w:rPr>
          <w:rFonts w:hint="eastAsia" w:ascii="宋体" w:hAnsi="宋体"/>
        </w:rPr>
        <w:t>,</w:t>
      </w:r>
      <w:r>
        <w:rPr>
          <w:rFonts w:hint="eastAsia" w:ascii="宋体" w:hAnsi="宋体"/>
          <w:lang w:val="en-US" w:eastAsia="zh-CN"/>
        </w:rPr>
        <w:t>6</w:t>
      </w:r>
      <w:r>
        <w:rPr>
          <w:rFonts w:hint="eastAsia" w:ascii="宋体" w:hAnsi="宋体"/>
        </w:rPr>
        <w:t>00.00万元，合计总收入</w:t>
      </w:r>
      <w:r>
        <w:rPr>
          <w:rFonts w:hint="eastAsia" w:ascii="宋体" w:hAnsi="宋体"/>
          <w:lang w:val="en-US" w:eastAsia="zh-CN"/>
        </w:rPr>
        <w:t>110</w:t>
      </w:r>
      <w:r>
        <w:rPr>
          <w:rFonts w:hint="eastAsia" w:ascii="宋体" w:hAnsi="宋体"/>
        </w:rPr>
        <w:t>,</w:t>
      </w:r>
      <w:r>
        <w:rPr>
          <w:rFonts w:hint="eastAsia" w:ascii="宋体" w:hAnsi="宋体"/>
          <w:lang w:val="en-US" w:eastAsia="zh-CN"/>
        </w:rPr>
        <w:t>426.77</w:t>
      </w:r>
      <w:r>
        <w:rPr>
          <w:rFonts w:hint="eastAsia" w:ascii="宋体" w:hAnsi="宋体"/>
        </w:rPr>
        <w:t>万元</w:t>
      </w:r>
      <w:r>
        <w:rPr>
          <w:rFonts w:hint="eastAsia" w:ascii="宋体" w:hAnsi="宋体"/>
          <w:lang w:eastAsia="zh-CN"/>
        </w:rPr>
        <w:t>，</w:t>
      </w:r>
      <w:r>
        <w:rPr>
          <w:rFonts w:hint="eastAsia" w:ascii="宋体" w:hAnsi="宋体"/>
        </w:rPr>
        <w:t>运营成本合计</w:t>
      </w:r>
      <w:r>
        <w:rPr>
          <w:rFonts w:hint="eastAsia" w:ascii="宋体" w:hAnsi="宋体"/>
          <w:lang w:val="en-US" w:eastAsia="zh-CN"/>
        </w:rPr>
        <w:t>70</w:t>
      </w:r>
      <w:r>
        <w:rPr>
          <w:rFonts w:hint="eastAsia" w:ascii="宋体" w:hAnsi="宋体"/>
        </w:rPr>
        <w:t>,</w:t>
      </w:r>
      <w:r>
        <w:rPr>
          <w:rFonts w:hint="eastAsia" w:ascii="宋体" w:hAnsi="宋体"/>
          <w:lang w:val="en-US" w:eastAsia="zh-CN"/>
        </w:rPr>
        <w:t>057.09</w:t>
      </w:r>
      <w:r>
        <w:rPr>
          <w:rFonts w:hint="eastAsia" w:ascii="宋体" w:hAnsi="宋体"/>
        </w:rPr>
        <w:t>万元</w:t>
      </w:r>
      <w:r>
        <w:rPr>
          <w:rFonts w:hint="eastAsia" w:ascii="宋体" w:hAnsi="宋体"/>
          <w:lang w:eastAsia="zh-CN"/>
        </w:rPr>
        <w:t>，</w:t>
      </w:r>
      <w:r>
        <w:rPr>
          <w:rFonts w:hint="eastAsia" w:ascii="宋体" w:hAnsi="宋体"/>
        </w:rPr>
        <w:t>项目收益</w:t>
      </w:r>
      <w:r>
        <w:rPr>
          <w:rFonts w:hint="eastAsia" w:ascii="宋体" w:hAnsi="宋体"/>
          <w:lang w:val="en-US" w:eastAsia="zh-CN"/>
        </w:rPr>
        <w:t>40,369.68</w:t>
      </w:r>
      <w:r>
        <w:rPr>
          <w:rFonts w:hint="eastAsia" w:ascii="宋体" w:hAnsi="宋体"/>
        </w:rPr>
        <w:t>万元。项目建设投资合规性与项目成熟度；该项目具有较强的收益性，可以带动区域经济发展。</w:t>
      </w:r>
      <w:bookmarkEnd w:id="124"/>
      <w:bookmarkEnd w:id="125"/>
    </w:p>
    <w:p w14:paraId="6804B4A2">
      <w:pPr>
        <w:pStyle w:val="4"/>
        <w:keepNext w:val="0"/>
        <w:keepLines w:val="0"/>
        <w:pageBreakBefore w:val="0"/>
        <w:widowControl w:val="0"/>
        <w:wordWrap/>
        <w:overflowPunct/>
        <w:topLinePunct w:val="0"/>
        <w:bidi w:val="0"/>
        <w:spacing w:line="600" w:lineRule="exact"/>
        <w:ind w:firstLine="600"/>
        <w:textAlignment w:val="baseline"/>
        <w:rPr>
          <w:rFonts w:ascii="宋体" w:hAnsi="宋体"/>
        </w:rPr>
      </w:pPr>
      <w:bookmarkStart w:id="126" w:name="_Toc27483"/>
      <w:r>
        <w:rPr>
          <w:rFonts w:hint="eastAsia" w:ascii="宋体" w:hAnsi="宋体"/>
        </w:rPr>
        <w:t>3.生态效益（满分4分，得分4分）</w:t>
      </w:r>
      <w:bookmarkEnd w:id="126"/>
    </w:p>
    <w:p w14:paraId="62B1EFE2">
      <w:pPr>
        <w:pStyle w:val="4"/>
        <w:keepNext w:val="0"/>
        <w:keepLines w:val="0"/>
        <w:pageBreakBefore w:val="0"/>
        <w:widowControl w:val="0"/>
        <w:wordWrap/>
        <w:overflowPunct/>
        <w:topLinePunct w:val="0"/>
        <w:bidi w:val="0"/>
        <w:spacing w:line="600" w:lineRule="exact"/>
        <w:ind w:firstLine="600"/>
        <w:textAlignment w:val="baseline"/>
        <w:rPr>
          <w:rFonts w:ascii="宋体" w:hAnsi="宋体"/>
        </w:rPr>
      </w:pPr>
      <w:bookmarkStart w:id="127" w:name="_Toc22868"/>
      <w:bookmarkStart w:id="128" w:name="_Toc20577"/>
      <w:r>
        <w:rPr>
          <w:rFonts w:hint="eastAsia" w:ascii="宋体" w:hAnsi="宋体"/>
        </w:rPr>
        <w:t>生态环保</w:t>
      </w:r>
      <w:bookmarkEnd w:id="127"/>
      <w:bookmarkEnd w:id="128"/>
    </w:p>
    <w:p w14:paraId="4AD78E14">
      <w:pPr>
        <w:pStyle w:val="4"/>
        <w:keepNext w:val="0"/>
        <w:keepLines w:val="0"/>
        <w:pageBreakBefore w:val="0"/>
        <w:widowControl w:val="0"/>
        <w:wordWrap/>
        <w:overflowPunct/>
        <w:topLinePunct w:val="0"/>
        <w:bidi w:val="0"/>
        <w:spacing w:line="600" w:lineRule="exact"/>
        <w:ind w:firstLine="600"/>
        <w:textAlignment w:val="baseline"/>
        <w:rPr>
          <w:rFonts w:ascii="宋体" w:hAnsi="宋体"/>
        </w:rPr>
      </w:pPr>
      <w:bookmarkStart w:id="129" w:name="_Toc19292"/>
      <w:bookmarkStart w:id="130" w:name="_Toc17061"/>
      <w:r>
        <w:rPr>
          <w:rFonts w:hint="eastAsia" w:ascii="宋体" w:hAnsi="宋体"/>
        </w:rPr>
        <w:t>指标分值4分，得4分。本项目工程建设过程中，按照环保法规、标准进行环境保护和水土保护，达到环境影响评价要求，未发生环保处罚情况。</w:t>
      </w:r>
      <w:bookmarkEnd w:id="129"/>
      <w:bookmarkEnd w:id="130"/>
    </w:p>
    <w:p w14:paraId="434BD453">
      <w:pPr>
        <w:pStyle w:val="4"/>
        <w:keepNext w:val="0"/>
        <w:keepLines w:val="0"/>
        <w:pageBreakBefore w:val="0"/>
        <w:widowControl w:val="0"/>
        <w:wordWrap/>
        <w:overflowPunct/>
        <w:topLinePunct w:val="0"/>
        <w:bidi w:val="0"/>
        <w:spacing w:line="600" w:lineRule="exact"/>
        <w:ind w:firstLine="600"/>
        <w:textAlignment w:val="baseline"/>
        <w:rPr>
          <w:rFonts w:ascii="宋体" w:hAnsi="宋体"/>
          <w:highlight w:val="none"/>
        </w:rPr>
      </w:pPr>
      <w:bookmarkStart w:id="131" w:name="_Toc414"/>
      <w:r>
        <w:rPr>
          <w:rFonts w:hint="eastAsia" w:ascii="宋体" w:hAnsi="宋体"/>
        </w:rPr>
        <w:t>4.可持</w:t>
      </w:r>
      <w:r>
        <w:rPr>
          <w:rFonts w:hint="eastAsia" w:ascii="宋体" w:hAnsi="宋体"/>
          <w:highlight w:val="none"/>
        </w:rPr>
        <w:t>续影响（满分4分，得分4分）</w:t>
      </w:r>
      <w:bookmarkEnd w:id="131"/>
    </w:p>
    <w:p w14:paraId="49E84F30">
      <w:pPr>
        <w:pStyle w:val="4"/>
        <w:keepNext w:val="0"/>
        <w:keepLines w:val="0"/>
        <w:pageBreakBefore w:val="0"/>
        <w:widowControl w:val="0"/>
        <w:wordWrap/>
        <w:overflowPunct/>
        <w:topLinePunct w:val="0"/>
        <w:bidi w:val="0"/>
        <w:spacing w:line="600" w:lineRule="exact"/>
        <w:ind w:firstLine="600"/>
        <w:textAlignment w:val="baseline"/>
        <w:rPr>
          <w:rFonts w:ascii="宋体" w:hAnsi="宋体"/>
          <w:highlight w:val="none"/>
        </w:rPr>
      </w:pPr>
      <w:bookmarkStart w:id="132" w:name="_Toc5322"/>
      <w:bookmarkStart w:id="133" w:name="_Toc14652"/>
      <w:r>
        <w:rPr>
          <w:rFonts w:hint="eastAsia" w:ascii="宋体" w:hAnsi="宋体"/>
          <w:highlight w:val="none"/>
        </w:rPr>
        <w:t>可持续运营能力</w:t>
      </w:r>
      <w:bookmarkEnd w:id="132"/>
      <w:bookmarkEnd w:id="133"/>
    </w:p>
    <w:p w14:paraId="03041183">
      <w:pPr>
        <w:pStyle w:val="4"/>
        <w:keepNext w:val="0"/>
        <w:keepLines w:val="0"/>
        <w:pageBreakBefore w:val="0"/>
        <w:widowControl w:val="0"/>
        <w:wordWrap/>
        <w:overflowPunct/>
        <w:topLinePunct w:val="0"/>
        <w:bidi w:val="0"/>
        <w:spacing w:line="600" w:lineRule="exact"/>
        <w:ind w:firstLine="600"/>
        <w:jc w:val="both"/>
        <w:textAlignment w:val="baseline"/>
        <w:rPr>
          <w:rFonts w:ascii="宋体" w:hAnsi="宋体"/>
          <w:highlight w:val="none"/>
        </w:rPr>
      </w:pPr>
      <w:bookmarkStart w:id="134" w:name="_Toc17635"/>
      <w:bookmarkStart w:id="135" w:name="_Toc29761"/>
      <w:r>
        <w:rPr>
          <w:rFonts w:hint="eastAsia" w:ascii="宋体" w:hAnsi="宋体"/>
          <w:highlight w:val="none"/>
        </w:rPr>
        <w:t>指标分值4分，得4分。在符合国家重大区域发展战略情况下，根据可研报告，本项目建筑物结构设计使用年限为50年，本项目现在正在建设期，但相关性显著、绩效可持续性较强、实施方案基本有效、预期绩效具有可持续性，且专项债券资金投入风险基本可控，通过专项债券资金筹集及自筹资金支持，可保证项目后续建设的可持续性，同时设立了专门的管理部门，具备可持续运营能力。</w:t>
      </w:r>
      <w:bookmarkEnd w:id="134"/>
      <w:bookmarkEnd w:id="135"/>
    </w:p>
    <w:p w14:paraId="5EA99C00">
      <w:pPr>
        <w:pStyle w:val="4"/>
        <w:pageBreakBefore w:val="0"/>
        <w:wordWrap/>
        <w:overflowPunct/>
        <w:topLinePunct w:val="0"/>
        <w:bidi w:val="0"/>
        <w:spacing w:line="600" w:lineRule="exact"/>
        <w:ind w:firstLine="600"/>
        <w:textAlignment w:val="baseline"/>
        <w:rPr>
          <w:rFonts w:ascii="宋体" w:hAnsi="宋体"/>
        </w:rPr>
      </w:pPr>
      <w:bookmarkStart w:id="136" w:name="_Toc1368"/>
      <w:r>
        <w:rPr>
          <w:rFonts w:hint="eastAsia" w:ascii="宋体" w:hAnsi="宋体"/>
        </w:rPr>
        <w:t>5.满意度（满分4分，得分4分）</w:t>
      </w:r>
      <w:bookmarkEnd w:id="136"/>
    </w:p>
    <w:p w14:paraId="56CCB7EC">
      <w:pPr>
        <w:pStyle w:val="4"/>
        <w:pageBreakBefore w:val="0"/>
        <w:wordWrap/>
        <w:overflowPunct/>
        <w:topLinePunct w:val="0"/>
        <w:bidi w:val="0"/>
        <w:spacing w:line="600" w:lineRule="exact"/>
        <w:ind w:firstLine="600"/>
        <w:textAlignment w:val="baseline"/>
        <w:rPr>
          <w:rFonts w:ascii="宋体" w:hAnsi="宋体"/>
        </w:rPr>
      </w:pPr>
      <w:bookmarkStart w:id="137" w:name="_Toc26858"/>
      <w:bookmarkStart w:id="138" w:name="_Toc18878"/>
      <w:r>
        <w:rPr>
          <w:rFonts w:hint="eastAsia" w:ascii="宋体" w:hAnsi="宋体"/>
        </w:rPr>
        <w:t>受益对象满意度</w:t>
      </w:r>
      <w:bookmarkEnd w:id="137"/>
      <w:bookmarkEnd w:id="138"/>
    </w:p>
    <w:p w14:paraId="43257A92">
      <w:pPr>
        <w:pStyle w:val="11"/>
        <w:pageBreakBefore w:val="0"/>
        <w:widowControl w:val="0"/>
        <w:kinsoku/>
        <w:wordWrap/>
        <w:overflowPunct/>
        <w:topLinePunct w:val="0"/>
        <w:autoSpaceDE/>
        <w:autoSpaceDN/>
        <w:bidi w:val="0"/>
        <w:adjustRightInd/>
        <w:snapToGrid/>
        <w:spacing w:beforeAutospacing="0" w:afterAutospacing="0" w:line="600" w:lineRule="exact"/>
        <w:ind w:firstLine="600"/>
        <w:textAlignment w:val="baseline"/>
        <w:rPr>
          <w:rFonts w:ascii="宋体" w:hAnsi="宋体" w:cs="Arial"/>
          <w:sz w:val="30"/>
        </w:rPr>
      </w:pPr>
      <w:r>
        <w:rPr>
          <w:rFonts w:hint="eastAsia" w:ascii="宋体" w:hAnsi="宋体" w:cs="Arial"/>
          <w:sz w:val="30"/>
        </w:rPr>
        <w:t>指标分值4分，得4分。依据本次发放的问卷调查，本项目属地政府对建设进度、质量比较满意。专项债券项目施工过程中，各参建单位对工程款按合同拨付程度满意。社会公众对项目的建立也比较满意，方便周边群众就医，大大提高了就医效率。</w:t>
      </w:r>
      <w:bookmarkEnd w:id="115"/>
      <w:bookmarkEnd w:id="116"/>
    </w:p>
    <w:p w14:paraId="6A207124">
      <w:pPr>
        <w:pStyle w:val="2"/>
        <w:pageBreakBefore w:val="0"/>
        <w:numPr>
          <w:ilvl w:val="0"/>
          <w:numId w:val="3"/>
        </w:numPr>
        <w:wordWrap/>
        <w:overflowPunct/>
        <w:topLinePunct w:val="0"/>
        <w:bidi w:val="0"/>
        <w:spacing w:line="600" w:lineRule="exact"/>
        <w:ind w:firstLine="602"/>
        <w:textAlignment w:val="baseline"/>
        <w:rPr>
          <w:rFonts w:ascii="宋体" w:hAnsi="宋体"/>
        </w:rPr>
      </w:pPr>
      <w:bookmarkStart w:id="139" w:name="_Toc8656"/>
      <w:r>
        <w:rPr>
          <w:rFonts w:hint="eastAsia" w:ascii="宋体" w:hAnsi="宋体"/>
        </w:rPr>
        <w:t>存在的问题及原因分析</w:t>
      </w:r>
      <w:bookmarkEnd w:id="139"/>
    </w:p>
    <w:p w14:paraId="2B098405">
      <w:pPr>
        <w:pStyle w:val="3"/>
        <w:pageBreakBefore w:val="0"/>
        <w:wordWrap/>
        <w:overflowPunct/>
        <w:topLinePunct w:val="0"/>
        <w:bidi w:val="0"/>
        <w:spacing w:line="600" w:lineRule="exact"/>
        <w:ind w:firstLine="602"/>
        <w:textAlignment w:val="baseline"/>
        <w:rPr>
          <w:rFonts w:ascii="宋体" w:hAnsi="宋体"/>
        </w:rPr>
      </w:pPr>
      <w:bookmarkStart w:id="140" w:name="_Toc29739"/>
      <w:bookmarkStart w:id="141" w:name="_Toc5374"/>
      <w:r>
        <w:rPr>
          <w:rFonts w:hint="eastAsia" w:ascii="宋体" w:hAnsi="宋体"/>
        </w:rPr>
        <w:t>（一）</w:t>
      </w:r>
      <w:bookmarkEnd w:id="140"/>
      <w:r>
        <w:rPr>
          <w:rFonts w:hint="eastAsia" w:ascii="宋体" w:hAnsi="宋体"/>
        </w:rPr>
        <w:t>专项债券资金管理制度不够细化</w:t>
      </w:r>
      <w:bookmarkEnd w:id="141"/>
    </w:p>
    <w:p w14:paraId="42F7B5B1">
      <w:pPr>
        <w:pageBreakBefore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bookmarkStart w:id="142" w:name="_bookmark26"/>
      <w:bookmarkEnd w:id="142"/>
      <w:bookmarkStart w:id="143" w:name="_bookmark16"/>
      <w:bookmarkEnd w:id="143"/>
      <w:r>
        <w:rPr>
          <w:rFonts w:hint="eastAsia" w:ascii="宋体" w:hAnsi="宋体" w:cs="仿宋_GB2312"/>
          <w:color w:val="333333"/>
          <w:spacing w:val="6"/>
          <w:szCs w:val="30"/>
          <w:shd w:val="clear" w:color="auto" w:fill="FFFFFF"/>
        </w:rPr>
        <w:t>项目实施单位制定了专项债券财务管理制度，但是制度内容过于宽泛，不够细化，可操作性差，同时未制度业务相关管理制度。</w:t>
      </w:r>
    </w:p>
    <w:p w14:paraId="6EC9981D">
      <w:pPr>
        <w:pStyle w:val="3"/>
        <w:pageBreakBefore w:val="0"/>
        <w:wordWrap/>
        <w:overflowPunct/>
        <w:topLinePunct w:val="0"/>
        <w:bidi w:val="0"/>
        <w:spacing w:line="600" w:lineRule="exact"/>
        <w:ind w:firstLine="602"/>
        <w:textAlignment w:val="baseline"/>
        <w:rPr>
          <w:rFonts w:ascii="宋体" w:hAnsi="宋体"/>
        </w:rPr>
      </w:pPr>
      <w:bookmarkStart w:id="144" w:name="_Toc5479"/>
      <w:bookmarkStart w:id="145" w:name="_Toc6335"/>
      <w:r>
        <w:rPr>
          <w:rFonts w:hint="eastAsia" w:ascii="宋体" w:hAnsi="宋体"/>
        </w:rPr>
        <w:t>（二）</w:t>
      </w:r>
      <w:bookmarkEnd w:id="144"/>
      <w:r>
        <w:rPr>
          <w:rFonts w:hint="eastAsia" w:ascii="宋体" w:hAnsi="宋体"/>
        </w:rPr>
        <w:t>项目建设过程中合同签订、支付等程序不够规范</w:t>
      </w:r>
      <w:bookmarkEnd w:id="145"/>
    </w:p>
    <w:p w14:paraId="729D40EB">
      <w:pPr>
        <w:keepNext w:val="0"/>
        <w:keepLines w:val="0"/>
        <w:pageBreakBefore w:val="0"/>
        <w:widowControl/>
        <w:kinsoku w:val="0"/>
        <w:wordWrap/>
        <w:overflowPunct/>
        <w:topLinePunct w:val="0"/>
        <w:autoSpaceDE w:val="0"/>
        <w:autoSpaceDN w:val="0"/>
        <w:bidi w:val="0"/>
        <w:adjustRightInd w:val="0"/>
        <w:snapToGrid w:val="0"/>
        <w:spacing w:line="600" w:lineRule="exact"/>
        <w:ind w:firstLine="612"/>
        <w:jc w:val="both"/>
        <w:textAlignment w:val="baseline"/>
        <w:rPr>
          <w:rFonts w:hint="eastAsia" w:ascii="宋体" w:hAnsi="宋体" w:cs="仿宋_GB2312"/>
          <w:color w:val="333333"/>
          <w:spacing w:val="6"/>
          <w:szCs w:val="30"/>
          <w:shd w:val="clear" w:color="auto" w:fill="FFFFFF"/>
        </w:rPr>
      </w:pPr>
      <w:r>
        <w:rPr>
          <w:rFonts w:hint="eastAsia" w:ascii="宋体" w:hAnsi="宋体" w:cs="仿宋_GB2312"/>
          <w:color w:val="333333"/>
          <w:spacing w:val="6"/>
          <w:szCs w:val="30"/>
          <w:shd w:val="clear" w:color="auto" w:fill="FFFFFF"/>
        </w:rPr>
        <w:t>本项目与中铁七局集团有限公司签订的建设工程施工合同金额13,163.37万元，截止</w:t>
      </w:r>
      <w:r>
        <w:rPr>
          <w:rFonts w:hint="eastAsia" w:ascii="宋体" w:hAnsi="宋体" w:cs="仿宋_GB2312"/>
          <w:color w:val="333333"/>
          <w:spacing w:val="6"/>
          <w:szCs w:val="30"/>
          <w:shd w:val="clear" w:color="auto" w:fill="FFFFFF"/>
          <w:lang w:val="en-US" w:eastAsia="zh-CN"/>
        </w:rPr>
        <w:t>2024年末已支付</w:t>
      </w:r>
      <w:r>
        <w:rPr>
          <w:rFonts w:hint="eastAsia" w:ascii="宋体" w:hAnsi="宋体" w:cs="仿宋_GB2312"/>
          <w:color w:val="333333"/>
          <w:spacing w:val="6"/>
          <w:szCs w:val="30"/>
          <w:shd w:val="clear" w:color="auto" w:fill="FFFFFF"/>
        </w:rPr>
        <w:t>12,795.83万元，支付比率达到97.21%，超合同约定比例，未按合同约定及工程进度支付工程款，以上各项程序上不够规范。</w:t>
      </w:r>
    </w:p>
    <w:p w14:paraId="5CE7FA2D">
      <w:pPr>
        <w:pStyle w:val="2"/>
        <w:pageBreakBefore w:val="0"/>
        <w:widowControl w:val="0"/>
        <w:wordWrap/>
        <w:overflowPunct/>
        <w:topLinePunct w:val="0"/>
        <w:bidi w:val="0"/>
        <w:spacing w:line="600" w:lineRule="exact"/>
        <w:ind w:firstLine="602"/>
        <w:textAlignment w:val="baseline"/>
        <w:rPr>
          <w:rFonts w:ascii="宋体" w:hAnsi="宋体"/>
        </w:rPr>
      </w:pPr>
      <w:bookmarkStart w:id="146" w:name="_bookmark18"/>
      <w:bookmarkEnd w:id="146"/>
      <w:bookmarkStart w:id="147" w:name="_bookmark21"/>
      <w:bookmarkEnd w:id="147"/>
      <w:bookmarkStart w:id="148" w:name="_bookmark20"/>
      <w:bookmarkEnd w:id="148"/>
      <w:bookmarkStart w:id="149" w:name="_Toc27499"/>
      <w:bookmarkStart w:id="150" w:name="_Toc32610"/>
      <w:r>
        <w:rPr>
          <w:rFonts w:hint="eastAsia" w:ascii="宋体" w:hAnsi="宋体"/>
        </w:rPr>
        <w:t>六、有关建议</w:t>
      </w:r>
      <w:bookmarkEnd w:id="149"/>
      <w:bookmarkEnd w:id="150"/>
    </w:p>
    <w:p w14:paraId="0FBFFD36">
      <w:pPr>
        <w:pStyle w:val="3"/>
        <w:pageBreakBefore w:val="0"/>
        <w:widowControl w:val="0"/>
        <w:wordWrap/>
        <w:overflowPunct/>
        <w:topLinePunct w:val="0"/>
        <w:bidi w:val="0"/>
        <w:spacing w:line="600" w:lineRule="exact"/>
        <w:ind w:firstLine="602"/>
        <w:textAlignment w:val="baseline"/>
        <w:rPr>
          <w:rFonts w:ascii="宋体" w:hAnsi="宋体"/>
        </w:rPr>
      </w:pPr>
      <w:bookmarkStart w:id="151" w:name="_Toc13341"/>
      <w:bookmarkStart w:id="152" w:name="_Toc15955"/>
      <w:r>
        <w:rPr>
          <w:rFonts w:hint="eastAsia" w:ascii="宋体" w:hAnsi="宋体"/>
        </w:rPr>
        <w:t>（一）</w:t>
      </w:r>
      <w:bookmarkEnd w:id="151"/>
      <w:r>
        <w:rPr>
          <w:rFonts w:hint="eastAsia" w:ascii="宋体" w:hAnsi="宋体"/>
        </w:rPr>
        <w:t>完善相关管理制度</w:t>
      </w:r>
      <w:bookmarkEnd w:id="152"/>
    </w:p>
    <w:p w14:paraId="364A7B64">
      <w:pPr>
        <w:pageBreakBefore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bookmarkStart w:id="153" w:name="_bookmark22"/>
      <w:bookmarkEnd w:id="153"/>
      <w:r>
        <w:rPr>
          <w:rFonts w:hint="eastAsia" w:ascii="宋体" w:hAnsi="宋体" w:cs="仿宋_GB2312"/>
          <w:color w:val="333333"/>
          <w:spacing w:val="6"/>
          <w:szCs w:val="30"/>
          <w:shd w:val="clear" w:color="auto" w:fill="FFFFFF"/>
        </w:rPr>
        <w:t>建议项目实施单位完善财务管理制度、业务管理制度等相关管理制度。加强项目市场风险防控、技术风险防控、融资风险防控等，并针对相应的风险防控制定控制措施。及时查漏补缺，严格按照已经制定的相关制度执行。</w:t>
      </w:r>
    </w:p>
    <w:p w14:paraId="2E05B38B">
      <w:pPr>
        <w:pStyle w:val="3"/>
        <w:pageBreakBefore w:val="0"/>
        <w:wordWrap/>
        <w:overflowPunct/>
        <w:topLinePunct w:val="0"/>
        <w:bidi w:val="0"/>
        <w:spacing w:line="600" w:lineRule="exact"/>
        <w:ind w:firstLine="602"/>
        <w:textAlignment w:val="baseline"/>
        <w:rPr>
          <w:rFonts w:ascii="宋体" w:hAnsi="宋体"/>
        </w:rPr>
      </w:pPr>
      <w:bookmarkStart w:id="154" w:name="_Toc21345"/>
      <w:bookmarkStart w:id="155" w:name="_Toc27103"/>
      <w:r>
        <w:rPr>
          <w:rFonts w:hint="eastAsia" w:ascii="宋体" w:hAnsi="宋体"/>
        </w:rPr>
        <w:t>（二）</w:t>
      </w:r>
      <w:bookmarkEnd w:id="154"/>
      <w:r>
        <w:rPr>
          <w:rFonts w:hint="eastAsia" w:ascii="宋体" w:hAnsi="宋体"/>
        </w:rPr>
        <w:t>严格按照规范程序签订合同以及付款</w:t>
      </w:r>
      <w:bookmarkEnd w:id="155"/>
    </w:p>
    <w:p w14:paraId="109B9536">
      <w:pPr>
        <w:pageBreakBefore w:val="0"/>
        <w:wordWrap/>
        <w:overflowPunct/>
        <w:topLinePunct w:val="0"/>
        <w:bidi w:val="0"/>
        <w:spacing w:line="600" w:lineRule="exact"/>
        <w:ind w:firstLine="612"/>
        <w:textAlignment w:val="baseline"/>
        <w:rPr>
          <w:rFonts w:ascii="宋体" w:hAnsi="宋体" w:cs="仿宋_GB2312"/>
          <w:color w:val="333333"/>
          <w:spacing w:val="6"/>
          <w:szCs w:val="30"/>
          <w:shd w:val="clear" w:color="auto" w:fill="FFFFFF"/>
        </w:rPr>
      </w:pPr>
      <w:bookmarkStart w:id="156" w:name="_Toc290"/>
      <w:r>
        <w:rPr>
          <w:rFonts w:hint="eastAsia" w:ascii="宋体" w:hAnsi="宋体" w:cs="仿宋_GB2312"/>
          <w:color w:val="333333"/>
          <w:spacing w:val="6"/>
          <w:szCs w:val="30"/>
          <w:shd w:val="clear" w:color="auto" w:fill="FFFFFF"/>
        </w:rPr>
        <w:t>项目主管部门和项目实施单位在建设过程中应加强对文件的校对和审核工作，按照有关财务会计制度</w:t>
      </w:r>
      <w:r>
        <w:rPr>
          <w:rFonts w:hint="eastAsia" w:ascii="宋体" w:hAnsi="宋体" w:cs="仿宋_GB2312"/>
          <w:color w:val="333333"/>
          <w:spacing w:val="6"/>
          <w:szCs w:val="30"/>
          <w:highlight w:val="none"/>
          <w:shd w:val="clear" w:color="auto" w:fill="FFFFFF"/>
        </w:rPr>
        <w:t>规定以及实</w:t>
      </w:r>
      <w:r>
        <w:rPr>
          <w:rFonts w:hint="eastAsia" w:ascii="宋体" w:hAnsi="宋体" w:cs="仿宋_GB2312"/>
          <w:color w:val="333333"/>
          <w:spacing w:val="6"/>
          <w:szCs w:val="30"/>
          <w:shd w:val="clear" w:color="auto" w:fill="FFFFFF"/>
        </w:rPr>
        <w:t>际发生的经济业务事项为依据，做好各项日常会计核算工作，杜绝弄虚作假和违规拨付款项，确保财务会计信息的合法、真实、准确、及时、完整。</w:t>
      </w:r>
      <w:bookmarkEnd w:id="156"/>
    </w:p>
    <w:p w14:paraId="3F7673D0">
      <w:pPr>
        <w:pStyle w:val="2"/>
        <w:pageBreakBefore w:val="0"/>
        <w:wordWrap/>
        <w:overflowPunct/>
        <w:topLinePunct w:val="0"/>
        <w:bidi w:val="0"/>
        <w:spacing w:line="600" w:lineRule="exact"/>
        <w:ind w:firstLine="602"/>
        <w:textAlignment w:val="baseline"/>
        <w:rPr>
          <w:rFonts w:ascii="宋体" w:hAnsi="宋体"/>
        </w:rPr>
      </w:pPr>
      <w:bookmarkStart w:id="157" w:name="_bookmark23"/>
      <w:bookmarkEnd w:id="157"/>
      <w:bookmarkStart w:id="158" w:name="_bookmark24"/>
      <w:bookmarkEnd w:id="158"/>
      <w:bookmarkStart w:id="159" w:name="_Toc11090"/>
      <w:r>
        <w:rPr>
          <w:rFonts w:hint="eastAsia" w:ascii="宋体" w:hAnsi="宋体"/>
        </w:rPr>
        <w:t>七、其他需要说明的问题</w:t>
      </w:r>
      <w:bookmarkEnd w:id="159"/>
    </w:p>
    <w:p w14:paraId="69E18C64">
      <w:pPr>
        <w:pageBreakBefore w:val="0"/>
        <w:widowControl w:val="0"/>
        <w:wordWrap/>
        <w:overflowPunct/>
        <w:topLinePunct w:val="0"/>
        <w:bidi w:val="0"/>
        <w:spacing w:line="600" w:lineRule="exact"/>
        <w:ind w:firstLine="620"/>
        <w:textAlignment w:val="baseline"/>
        <w:rPr>
          <w:rFonts w:ascii="宋体" w:hAnsi="宋体" w:cs="仿宋_GB2312"/>
          <w:spacing w:val="10"/>
          <w:szCs w:val="30"/>
        </w:rPr>
      </w:pPr>
      <w:r>
        <w:rPr>
          <w:rFonts w:ascii="宋体" w:hAnsi="宋体" w:cs="仿宋_GB2312"/>
          <w:spacing w:val="10"/>
          <w:szCs w:val="30"/>
        </w:rPr>
        <w:t>本报告主要依据项目单位提供的资料及现场调研做出的评价。报告主要是基于项目单位提供的决策、</w:t>
      </w:r>
      <w:r>
        <w:rPr>
          <w:rFonts w:hint="eastAsia" w:ascii="宋体" w:hAnsi="宋体" w:cs="仿宋_GB2312"/>
          <w:spacing w:val="10"/>
          <w:szCs w:val="30"/>
        </w:rPr>
        <w:t>管理</w:t>
      </w:r>
      <w:r>
        <w:rPr>
          <w:rFonts w:ascii="宋体" w:hAnsi="宋体" w:cs="仿宋_GB2312"/>
          <w:spacing w:val="10"/>
          <w:szCs w:val="30"/>
        </w:rPr>
        <w:t>、产出、</w:t>
      </w:r>
      <w:r>
        <w:rPr>
          <w:rFonts w:hint="eastAsia" w:ascii="宋体" w:hAnsi="宋体" w:cs="仿宋_GB2312"/>
          <w:spacing w:val="10"/>
          <w:szCs w:val="30"/>
        </w:rPr>
        <w:t>效益</w:t>
      </w:r>
      <w:r>
        <w:rPr>
          <w:rFonts w:ascii="宋体" w:hAnsi="宋体" w:cs="仿宋_GB2312"/>
          <w:spacing w:val="10"/>
          <w:szCs w:val="30"/>
        </w:rPr>
        <w:t>等方面的资料及合理的现场调研做出，评价组对资料的真实性进行了适当的调研与抽查。但受调研范围及现场情况所限，并不是每项指标的打分都有着充分的调研支撑，个别指标主要是依据评价组工作人员的专业判断</w:t>
      </w:r>
      <w:r>
        <w:rPr>
          <w:rFonts w:hint="eastAsia" w:ascii="宋体" w:hAnsi="宋体" w:cs="仿宋_GB2312"/>
          <w:spacing w:val="10"/>
          <w:szCs w:val="30"/>
        </w:rPr>
        <w:t>。</w:t>
      </w:r>
    </w:p>
    <w:p w14:paraId="77540605">
      <w:pPr>
        <w:widowControl w:val="0"/>
        <w:ind w:firstLine="620"/>
        <w:rPr>
          <w:rFonts w:ascii="宋体" w:hAnsi="宋体" w:cs="仿宋_GB2312"/>
          <w:spacing w:val="10"/>
          <w:szCs w:val="30"/>
        </w:rPr>
      </w:pPr>
    </w:p>
    <w:p w14:paraId="036B10F0">
      <w:pPr>
        <w:widowControl w:val="0"/>
        <w:ind w:firstLine="620"/>
        <w:rPr>
          <w:rFonts w:ascii="宋体" w:hAnsi="宋体"/>
        </w:rPr>
      </w:pPr>
      <w:r>
        <w:rPr>
          <w:rFonts w:hint="eastAsia" w:ascii="宋体" w:hAnsi="宋体" w:cs="仿宋_GB2312"/>
          <w:spacing w:val="10"/>
          <w:szCs w:val="30"/>
        </w:rPr>
        <w:t>附件1：长春市宽城区</w:t>
      </w:r>
      <w:r>
        <w:rPr>
          <w:rFonts w:hint="eastAsia" w:ascii="宋体" w:hAnsi="宋体" w:cs="仿宋_GB2312"/>
          <w:spacing w:val="10"/>
          <w:szCs w:val="30"/>
          <w:lang w:val="en-US" w:eastAsia="zh-CN"/>
        </w:rPr>
        <w:t>卫生综合体</w:t>
      </w:r>
      <w:r>
        <w:rPr>
          <w:rFonts w:hint="eastAsia" w:ascii="宋体" w:hAnsi="宋体" w:cs="仿宋_GB2312"/>
          <w:spacing w:val="10"/>
          <w:szCs w:val="30"/>
        </w:rPr>
        <w:t>建设项目绩效评价综合评分表</w:t>
      </w:r>
    </w:p>
    <w:p w14:paraId="0CAF6D38">
      <w:pPr>
        <w:ind w:firstLine="600"/>
        <w:rPr>
          <w:rFonts w:ascii="宋体" w:hAnsi="宋体"/>
        </w:rPr>
      </w:pPr>
    </w:p>
    <w:p w14:paraId="75524646">
      <w:pPr>
        <w:ind w:firstLine="600"/>
        <w:rPr>
          <w:rFonts w:ascii="宋体" w:hAnsi="宋体"/>
        </w:rPr>
      </w:pPr>
    </w:p>
    <w:tbl>
      <w:tblPr>
        <w:tblStyle w:val="12"/>
        <w:tblW w:w="8528" w:type="dxa"/>
        <w:jc w:val="center"/>
        <w:tblLayout w:type="fixed"/>
        <w:tblCellMar>
          <w:top w:w="0" w:type="dxa"/>
          <w:left w:w="108" w:type="dxa"/>
          <w:bottom w:w="0" w:type="dxa"/>
          <w:right w:w="108" w:type="dxa"/>
        </w:tblCellMar>
      </w:tblPr>
      <w:tblGrid>
        <w:gridCol w:w="4264"/>
        <w:gridCol w:w="4264"/>
      </w:tblGrid>
      <w:tr w14:paraId="2203BF19">
        <w:tblPrEx>
          <w:tblCellMar>
            <w:top w:w="0" w:type="dxa"/>
            <w:left w:w="108" w:type="dxa"/>
            <w:bottom w:w="0" w:type="dxa"/>
            <w:right w:w="108" w:type="dxa"/>
          </w:tblCellMar>
        </w:tblPrEx>
        <w:trPr>
          <w:jc w:val="center"/>
        </w:trPr>
        <w:tc>
          <w:tcPr>
            <w:tcW w:w="4264" w:type="dxa"/>
            <w:vAlign w:val="center"/>
          </w:tcPr>
          <w:p w14:paraId="019DED8A">
            <w:pPr>
              <w:widowControl w:val="0"/>
              <w:kinsoku/>
              <w:autoSpaceDE/>
              <w:autoSpaceDN/>
              <w:adjustRightInd/>
              <w:snapToGrid/>
              <w:spacing w:beforeLines="100" w:afterLines="100" w:line="240" w:lineRule="auto"/>
              <w:ind w:firstLine="560"/>
              <w:jc w:val="center"/>
              <w:textAlignment w:val="auto"/>
              <w:rPr>
                <w:rFonts w:ascii="宋体" w:hAnsi="宋体" w:cs="Times New Roman"/>
                <w:sz w:val="28"/>
                <w:szCs w:val="28"/>
              </w:rPr>
            </w:pPr>
            <w:r>
              <w:rPr>
                <w:rFonts w:ascii="宋体" w:hAnsi="宋体" w:cs="Times New Roman"/>
                <w:sz w:val="28"/>
                <w:szCs w:val="28"/>
              </w:rPr>
              <w:t>长春岳华会计师事务所</w:t>
            </w:r>
          </w:p>
        </w:tc>
        <w:tc>
          <w:tcPr>
            <w:tcW w:w="4264" w:type="dxa"/>
            <w:vAlign w:val="center"/>
          </w:tcPr>
          <w:p w14:paraId="7227B426">
            <w:pPr>
              <w:widowControl w:val="0"/>
              <w:kinsoku/>
              <w:autoSpaceDE/>
              <w:autoSpaceDN/>
              <w:adjustRightInd/>
              <w:snapToGrid/>
              <w:spacing w:beforeLines="100" w:afterLines="100" w:line="240" w:lineRule="auto"/>
              <w:ind w:firstLine="560"/>
              <w:jc w:val="center"/>
              <w:textAlignment w:val="auto"/>
              <w:rPr>
                <w:rFonts w:ascii="宋体" w:hAnsi="宋体" w:cs="Times New Roman"/>
                <w:sz w:val="28"/>
                <w:szCs w:val="28"/>
              </w:rPr>
            </w:pPr>
            <w:r>
              <w:rPr>
                <w:rFonts w:ascii="宋体" w:hAnsi="宋体" w:cs="Times New Roman"/>
                <w:sz w:val="28"/>
                <w:szCs w:val="28"/>
              </w:rPr>
              <w:t>中国注册会计师</w:t>
            </w:r>
            <w:r>
              <w:rPr>
                <w:rFonts w:hint="eastAsia" w:ascii="宋体" w:hAnsi="宋体" w:cs="Times New Roman"/>
                <w:sz w:val="28"/>
                <w:szCs w:val="28"/>
              </w:rPr>
              <w:t>：</w:t>
            </w:r>
          </w:p>
        </w:tc>
      </w:tr>
      <w:tr w14:paraId="0297D55B">
        <w:tblPrEx>
          <w:tblCellMar>
            <w:top w:w="0" w:type="dxa"/>
            <w:left w:w="108" w:type="dxa"/>
            <w:bottom w:w="0" w:type="dxa"/>
            <w:right w:w="108" w:type="dxa"/>
          </w:tblCellMar>
        </w:tblPrEx>
        <w:trPr>
          <w:jc w:val="center"/>
        </w:trPr>
        <w:tc>
          <w:tcPr>
            <w:tcW w:w="4264" w:type="dxa"/>
            <w:vAlign w:val="center"/>
          </w:tcPr>
          <w:p w14:paraId="226A8D9F">
            <w:pPr>
              <w:widowControl w:val="0"/>
              <w:kinsoku/>
              <w:autoSpaceDE/>
              <w:autoSpaceDN/>
              <w:adjustRightInd/>
              <w:snapToGrid/>
              <w:spacing w:beforeLines="100" w:afterLines="100" w:line="240" w:lineRule="auto"/>
              <w:ind w:firstLine="560"/>
              <w:jc w:val="center"/>
              <w:textAlignment w:val="auto"/>
              <w:rPr>
                <w:rFonts w:ascii="宋体" w:hAnsi="宋体" w:cs="Times New Roman"/>
                <w:sz w:val="28"/>
                <w:szCs w:val="28"/>
              </w:rPr>
            </w:pPr>
            <w:r>
              <w:rPr>
                <w:rFonts w:ascii="宋体" w:hAnsi="宋体" w:cs="Times New Roman"/>
                <w:sz w:val="28"/>
                <w:szCs w:val="28"/>
              </w:rPr>
              <w:t>（普通合伙）</w:t>
            </w:r>
          </w:p>
        </w:tc>
        <w:tc>
          <w:tcPr>
            <w:tcW w:w="4264" w:type="dxa"/>
            <w:vAlign w:val="center"/>
          </w:tcPr>
          <w:p w14:paraId="24A85165">
            <w:pPr>
              <w:widowControl w:val="0"/>
              <w:kinsoku/>
              <w:autoSpaceDE/>
              <w:autoSpaceDN/>
              <w:adjustRightInd/>
              <w:snapToGrid/>
              <w:spacing w:beforeLines="100" w:afterLines="100" w:line="240" w:lineRule="auto"/>
              <w:ind w:firstLine="560"/>
              <w:jc w:val="center"/>
              <w:textAlignment w:val="auto"/>
              <w:rPr>
                <w:rFonts w:ascii="宋体" w:hAnsi="宋体" w:eastAsia="宋体" w:cs="Times New Roman"/>
                <w:sz w:val="28"/>
                <w:szCs w:val="28"/>
              </w:rPr>
            </w:pPr>
            <w:r>
              <w:rPr>
                <w:rFonts w:ascii="宋体" w:hAnsi="宋体" w:cs="Times New Roman"/>
                <w:sz w:val="28"/>
                <w:szCs w:val="28"/>
              </w:rPr>
              <w:t>中国注册会计师</w:t>
            </w:r>
            <w:r>
              <w:rPr>
                <w:rFonts w:hint="eastAsia" w:ascii="宋体" w:hAnsi="宋体" w:cs="Times New Roman"/>
                <w:sz w:val="28"/>
                <w:szCs w:val="28"/>
              </w:rPr>
              <w:t>：</w:t>
            </w:r>
          </w:p>
        </w:tc>
      </w:tr>
      <w:tr w14:paraId="73CEA9B8">
        <w:tblPrEx>
          <w:tblCellMar>
            <w:top w:w="0" w:type="dxa"/>
            <w:left w:w="108" w:type="dxa"/>
            <w:bottom w:w="0" w:type="dxa"/>
            <w:right w:w="108" w:type="dxa"/>
          </w:tblCellMar>
        </w:tblPrEx>
        <w:trPr>
          <w:jc w:val="center"/>
        </w:trPr>
        <w:tc>
          <w:tcPr>
            <w:tcW w:w="4264" w:type="dxa"/>
            <w:vAlign w:val="center"/>
          </w:tcPr>
          <w:p w14:paraId="0756B295">
            <w:pPr>
              <w:widowControl w:val="0"/>
              <w:kinsoku/>
              <w:autoSpaceDE/>
              <w:autoSpaceDN/>
              <w:adjustRightInd/>
              <w:snapToGrid/>
              <w:spacing w:beforeLines="100" w:afterLines="100" w:line="240" w:lineRule="auto"/>
              <w:ind w:firstLine="560"/>
              <w:jc w:val="center"/>
              <w:textAlignment w:val="auto"/>
              <w:rPr>
                <w:rFonts w:ascii="宋体" w:hAnsi="宋体" w:cs="Times New Roman"/>
                <w:sz w:val="28"/>
                <w:szCs w:val="28"/>
              </w:rPr>
            </w:pPr>
            <w:r>
              <w:rPr>
                <w:rFonts w:ascii="宋体" w:hAnsi="宋体" w:cs="Times New Roman"/>
                <w:sz w:val="28"/>
                <w:szCs w:val="28"/>
              </w:rPr>
              <w:t>中国</w:t>
            </w:r>
            <w:r>
              <w:rPr>
                <w:rFonts w:hint="eastAsia" w:ascii="宋体" w:hAnsi="宋体" w:cs="Times New Roman"/>
                <w:sz w:val="28"/>
                <w:szCs w:val="28"/>
              </w:rPr>
              <w:t>·</w:t>
            </w:r>
            <w:r>
              <w:rPr>
                <w:rFonts w:ascii="宋体" w:hAnsi="宋体" w:cs="Times New Roman"/>
                <w:sz w:val="28"/>
                <w:szCs w:val="28"/>
              </w:rPr>
              <w:t>长春市</w:t>
            </w:r>
          </w:p>
        </w:tc>
        <w:tc>
          <w:tcPr>
            <w:tcW w:w="4264" w:type="dxa"/>
            <w:vAlign w:val="center"/>
          </w:tcPr>
          <w:p w14:paraId="6900D7CA">
            <w:pPr>
              <w:widowControl w:val="0"/>
              <w:kinsoku/>
              <w:autoSpaceDE/>
              <w:autoSpaceDN/>
              <w:adjustRightInd/>
              <w:snapToGrid/>
              <w:spacing w:beforeLines="100" w:afterLines="100" w:line="240" w:lineRule="auto"/>
              <w:ind w:firstLine="560"/>
              <w:jc w:val="center"/>
              <w:textAlignment w:val="auto"/>
              <w:rPr>
                <w:rFonts w:ascii="宋体" w:hAnsi="宋体" w:cs="Times New Roman"/>
                <w:sz w:val="28"/>
                <w:szCs w:val="28"/>
                <w:highlight w:val="yellow"/>
              </w:rPr>
            </w:pPr>
            <w:r>
              <w:rPr>
                <w:rFonts w:ascii="宋体" w:hAnsi="宋体" w:cs="Times New Roman"/>
                <w:sz w:val="28"/>
                <w:szCs w:val="28"/>
              </w:rPr>
              <w:t>二</w:t>
            </w:r>
            <w:r>
              <w:rPr>
                <w:rFonts w:ascii="宋体" w:hAnsi="宋体"/>
                <w:sz w:val="28"/>
                <w:szCs w:val="28"/>
              </w:rPr>
              <w:t>○</w:t>
            </w:r>
            <w:r>
              <w:rPr>
                <w:rFonts w:ascii="宋体" w:hAnsi="宋体" w:cs="Times New Roman"/>
                <w:sz w:val="28"/>
                <w:szCs w:val="28"/>
              </w:rPr>
              <w:t>二</w:t>
            </w:r>
            <w:r>
              <w:rPr>
                <w:rFonts w:hint="eastAsia" w:ascii="宋体" w:hAnsi="宋体"/>
                <w:sz w:val="28"/>
                <w:szCs w:val="28"/>
                <w:lang w:val="en-US" w:eastAsia="zh-CN"/>
              </w:rPr>
              <w:t>五</w:t>
            </w:r>
            <w:r>
              <w:rPr>
                <w:rFonts w:ascii="宋体" w:hAnsi="宋体" w:cs="Times New Roman"/>
                <w:sz w:val="28"/>
                <w:szCs w:val="28"/>
              </w:rPr>
              <w:t>年</w:t>
            </w:r>
            <w:r>
              <w:rPr>
                <w:rFonts w:hint="eastAsia" w:ascii="宋体" w:hAnsi="宋体" w:cs="Times New Roman"/>
                <w:sz w:val="28"/>
                <w:szCs w:val="28"/>
              </w:rPr>
              <w:t>五</w:t>
            </w:r>
            <w:r>
              <w:rPr>
                <w:rFonts w:ascii="宋体" w:hAnsi="宋体" w:cs="Times New Roman"/>
                <w:sz w:val="28"/>
                <w:szCs w:val="28"/>
              </w:rPr>
              <w:t>月</w:t>
            </w:r>
            <w:r>
              <w:rPr>
                <w:rFonts w:hint="eastAsia" w:ascii="宋体" w:hAnsi="宋体" w:cs="Times New Roman"/>
                <w:sz w:val="28"/>
                <w:szCs w:val="28"/>
                <w:lang w:val="en-US" w:eastAsia="zh-CN"/>
              </w:rPr>
              <w:t>十二</w:t>
            </w:r>
            <w:r>
              <w:rPr>
                <w:rFonts w:ascii="宋体" w:hAnsi="宋体" w:cs="Times New Roman"/>
                <w:sz w:val="28"/>
                <w:szCs w:val="28"/>
              </w:rPr>
              <w:t>日</w:t>
            </w:r>
          </w:p>
        </w:tc>
      </w:tr>
    </w:tbl>
    <w:p w14:paraId="10C87EF0">
      <w:pPr>
        <w:ind w:firstLine="600"/>
        <w:rPr>
          <w:rFonts w:ascii="宋体" w:hAnsi="宋体"/>
        </w:rPr>
      </w:pPr>
    </w:p>
    <w:sectPr>
      <w:footerReference r:id="rId7" w:type="default"/>
      <w:pgSz w:w="11906" w:h="16839"/>
      <w:pgMar w:top="1440" w:right="1800" w:bottom="1440" w:left="1800" w:header="0" w:footer="1059"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070DE3A-DB8F-4B73-AC29-D89FF55FF961}"/>
  </w:font>
  <w:font w:name="黑体">
    <w:panose1 w:val="02010609060101010101"/>
    <w:charset w:val="86"/>
    <w:family w:val="auto"/>
    <w:pitch w:val="default"/>
    <w:sig w:usb0="800002BF" w:usb1="38CF7CFA" w:usb2="00000016" w:usb3="00000000" w:csb0="00040001" w:csb1="00000000"/>
    <w:embedRegular r:id="rId2" w:fontKey="{BD64153F-26F8-4071-A9C2-B3A5036B1C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9CB7C54C-A6E3-4970-B0E3-D829BA1E6246}"/>
  </w:font>
  <w:font w:name="方正小标宋简体">
    <w:panose1 w:val="02010600010101010101"/>
    <w:charset w:val="86"/>
    <w:family w:val="script"/>
    <w:pitch w:val="default"/>
    <w:sig w:usb0="00000001" w:usb1="080E0000" w:usb2="00000000" w:usb3="00000000" w:csb0="00040000" w:csb1="00000000"/>
    <w:embedRegular r:id="rId4" w:fontKey="{4A2487FB-A105-42AF-9427-EB9278F1D0B3}"/>
  </w:font>
  <w:font w:name="仿宋">
    <w:panose1 w:val="02010609060101010101"/>
    <w:charset w:val="86"/>
    <w:family w:val="modern"/>
    <w:pitch w:val="default"/>
    <w:sig w:usb0="800002BF" w:usb1="38CF7CFA" w:usb2="00000016" w:usb3="00000000" w:csb0="00040001" w:csb1="00000000"/>
    <w:embedRegular r:id="rId5" w:fontKey="{4B8B4069-9060-4B75-BD78-538C8D07E14F}"/>
  </w:font>
  <w:font w:name="Arial Narrow">
    <w:panose1 w:val="020B0606020202030204"/>
    <w:charset w:val="00"/>
    <w:family w:val="auto"/>
    <w:pitch w:val="default"/>
    <w:sig w:usb0="00000287" w:usb1="00000800" w:usb2="00000000" w:usb3="00000000" w:csb0="2000009F" w:csb1="DFD70000"/>
    <w:embedRegular r:id="rId6" w:fontKey="{3A1247F6-B0C2-40B0-B7F5-E9A5FF5B8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8FC81">
    <w:pPr>
      <w:spacing w:line="194" w:lineRule="auto"/>
      <w:ind w:left="4278" w:firstLine="340"/>
      <w:rPr>
        <w:rFonts w:ascii="仿宋" w:hAnsi="仿宋" w:eastAsia="仿宋" w:cs="仿宋"/>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505D4">
    <w:pPr>
      <w:spacing w:line="194" w:lineRule="auto"/>
      <w:ind w:left="4278" w:firstLine="340"/>
      <w:rPr>
        <w:rFonts w:ascii="仿宋" w:hAnsi="仿宋" w:eastAsia="仿宋" w:cs="仿宋"/>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328DD24">
                          <w:pPr>
                            <w:pStyle w:val="8"/>
                            <w:ind w:firstLine="360"/>
                          </w:pPr>
                          <w:r>
                            <w:t>第</w:t>
                          </w:r>
                          <w:r>
                            <w:fldChar w:fldCharType="begin"/>
                          </w:r>
                          <w:r>
                            <w:instrText xml:space="preserve"> PAGE  \* MERGEFORMAT </w:instrText>
                          </w:r>
                          <w:r>
                            <w:fldChar w:fldCharType="separate"/>
                          </w:r>
                          <w:r>
                            <w:t>20</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328DD24">
                    <w:pPr>
                      <w:pStyle w:val="8"/>
                      <w:ind w:firstLine="360"/>
                    </w:pPr>
                    <w:r>
                      <w:t>第</w:t>
                    </w:r>
                    <w:r>
                      <w:fldChar w:fldCharType="begin"/>
                    </w:r>
                    <w:r>
                      <w:instrText xml:space="preserve"> PAGE  \* MERGEFORMAT </w:instrText>
                    </w:r>
                    <w:r>
                      <w:fldChar w:fldCharType="separate"/>
                    </w:r>
                    <w:r>
                      <w:t>20</w:t>
                    </w:r>
                    <w:r>
                      <w:fldChar w:fldCharType="end"/>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00DCB">
    <w:pPr>
      <w:spacing w:line="14" w:lineRule="auto"/>
      <w:ind w:firstLine="40"/>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95EF7"/>
    <w:multiLevelType w:val="singleLevel"/>
    <w:tmpl w:val="07995EF7"/>
    <w:lvl w:ilvl="0" w:tentative="0">
      <w:start w:val="2"/>
      <w:numFmt w:val="chineseCounting"/>
      <w:suff w:val="nothing"/>
      <w:lvlText w:val="（%1）"/>
      <w:lvlJc w:val="left"/>
      <w:rPr>
        <w:rFonts w:hint="eastAsia"/>
      </w:rPr>
    </w:lvl>
  </w:abstractNum>
  <w:abstractNum w:abstractNumId="1">
    <w:nsid w:val="3283D14A"/>
    <w:multiLevelType w:val="singleLevel"/>
    <w:tmpl w:val="3283D14A"/>
    <w:lvl w:ilvl="0" w:tentative="0">
      <w:start w:val="3"/>
      <w:numFmt w:val="decimal"/>
      <w:suff w:val="nothing"/>
      <w:lvlText w:val="%1."/>
      <w:lvlJc w:val="left"/>
    </w:lvl>
  </w:abstractNum>
  <w:abstractNum w:abstractNumId="2">
    <w:nsid w:val="38D6DDC6"/>
    <w:multiLevelType w:val="singleLevel"/>
    <w:tmpl w:val="38D6DDC6"/>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kMmNiNzQxMDQ2ZTdiNTUyMTcwMTJlZDQ4NTg2ZWYifQ=="/>
  </w:docVars>
  <w:rsids>
    <w:rsidRoot w:val="00DE2897"/>
    <w:rsid w:val="00073222"/>
    <w:rsid w:val="00176365"/>
    <w:rsid w:val="003610E8"/>
    <w:rsid w:val="00367605"/>
    <w:rsid w:val="003D7604"/>
    <w:rsid w:val="005E658F"/>
    <w:rsid w:val="007552B0"/>
    <w:rsid w:val="00987F32"/>
    <w:rsid w:val="00D51307"/>
    <w:rsid w:val="00DE2897"/>
    <w:rsid w:val="00E941C4"/>
    <w:rsid w:val="00FB42BA"/>
    <w:rsid w:val="03F4793D"/>
    <w:rsid w:val="07C850E1"/>
    <w:rsid w:val="099B3B37"/>
    <w:rsid w:val="0BE835B9"/>
    <w:rsid w:val="0CDF70FC"/>
    <w:rsid w:val="0ECC7139"/>
    <w:rsid w:val="111C26AB"/>
    <w:rsid w:val="11511F61"/>
    <w:rsid w:val="11D64215"/>
    <w:rsid w:val="13FD1F2D"/>
    <w:rsid w:val="15EF0E30"/>
    <w:rsid w:val="163757C5"/>
    <w:rsid w:val="165F5BA3"/>
    <w:rsid w:val="1B5B7A3D"/>
    <w:rsid w:val="1B863AF8"/>
    <w:rsid w:val="1F0B4ACE"/>
    <w:rsid w:val="1FF40688"/>
    <w:rsid w:val="204E33A7"/>
    <w:rsid w:val="22484CBB"/>
    <w:rsid w:val="27223D2C"/>
    <w:rsid w:val="27A41498"/>
    <w:rsid w:val="2AA100CC"/>
    <w:rsid w:val="2C1E6F2A"/>
    <w:rsid w:val="2F814A7D"/>
    <w:rsid w:val="2FBE480E"/>
    <w:rsid w:val="319A07F5"/>
    <w:rsid w:val="344F4CEC"/>
    <w:rsid w:val="358F7A2D"/>
    <w:rsid w:val="362C430A"/>
    <w:rsid w:val="369443A6"/>
    <w:rsid w:val="37AD2BD9"/>
    <w:rsid w:val="38D42F08"/>
    <w:rsid w:val="3E3C74EF"/>
    <w:rsid w:val="3FF55066"/>
    <w:rsid w:val="403E059F"/>
    <w:rsid w:val="40434101"/>
    <w:rsid w:val="40DB6007"/>
    <w:rsid w:val="42CB4E20"/>
    <w:rsid w:val="43721740"/>
    <w:rsid w:val="456652D4"/>
    <w:rsid w:val="4836687F"/>
    <w:rsid w:val="48E74C99"/>
    <w:rsid w:val="497F11CB"/>
    <w:rsid w:val="4A2A5FB0"/>
    <w:rsid w:val="4A6F69D9"/>
    <w:rsid w:val="4C804ECE"/>
    <w:rsid w:val="4C942D32"/>
    <w:rsid w:val="4D6E6136"/>
    <w:rsid w:val="4EB57B74"/>
    <w:rsid w:val="50355FCF"/>
    <w:rsid w:val="51D858D4"/>
    <w:rsid w:val="54526AAE"/>
    <w:rsid w:val="548836BE"/>
    <w:rsid w:val="55371257"/>
    <w:rsid w:val="56A02924"/>
    <w:rsid w:val="570C5CDB"/>
    <w:rsid w:val="571B119A"/>
    <w:rsid w:val="57E61CDA"/>
    <w:rsid w:val="5893622F"/>
    <w:rsid w:val="58B631CC"/>
    <w:rsid w:val="597B2CA5"/>
    <w:rsid w:val="5B744BB6"/>
    <w:rsid w:val="5C3C1109"/>
    <w:rsid w:val="5CD917BF"/>
    <w:rsid w:val="60E318BB"/>
    <w:rsid w:val="6531664C"/>
    <w:rsid w:val="65D64438"/>
    <w:rsid w:val="66442074"/>
    <w:rsid w:val="68E02B24"/>
    <w:rsid w:val="6C305B70"/>
    <w:rsid w:val="6DEA1328"/>
    <w:rsid w:val="6F9B1AAF"/>
    <w:rsid w:val="70C04FE9"/>
    <w:rsid w:val="736C3D40"/>
    <w:rsid w:val="73D13E24"/>
    <w:rsid w:val="75693EA1"/>
    <w:rsid w:val="78EE0999"/>
    <w:rsid w:val="7A0120B0"/>
    <w:rsid w:val="7ABC7048"/>
    <w:rsid w:val="7B422074"/>
    <w:rsid w:val="7DA65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360" w:lineRule="auto"/>
      <w:ind w:firstLine="723" w:firstLineChars="200"/>
      <w:textAlignment w:val="baseline"/>
    </w:pPr>
    <w:rPr>
      <w:rFonts w:ascii="Arial" w:hAnsi="Arial" w:eastAsia="仿宋_GB2312" w:cs="Arial"/>
      <w:snapToGrid w:val="0"/>
      <w:color w:val="000000"/>
      <w:sz w:val="30"/>
      <w:szCs w:val="21"/>
      <w:lang w:val="en-US" w:eastAsia="zh-CN" w:bidi="ar-SA"/>
    </w:rPr>
  </w:style>
  <w:style w:type="paragraph" w:styleId="2">
    <w:name w:val="heading 1"/>
    <w:basedOn w:val="1"/>
    <w:next w:val="1"/>
    <w:autoRedefine/>
    <w:qFormat/>
    <w:uiPriority w:val="0"/>
    <w:pPr>
      <w:keepNext/>
      <w:keepLines/>
      <w:outlineLvl w:val="0"/>
    </w:pPr>
    <w:rPr>
      <w:rFonts w:eastAsia="黑体"/>
      <w:b/>
      <w:kern w:val="44"/>
    </w:rPr>
  </w:style>
  <w:style w:type="paragraph" w:styleId="3">
    <w:name w:val="heading 2"/>
    <w:basedOn w:val="1"/>
    <w:next w:val="1"/>
    <w:unhideWhenUsed/>
    <w:qFormat/>
    <w:uiPriority w:val="0"/>
    <w:pPr>
      <w:keepNext/>
      <w:keepLines/>
      <w:outlineLvl w:val="1"/>
    </w:pPr>
    <w:rPr>
      <w:b/>
    </w:rPr>
  </w:style>
  <w:style w:type="paragraph" w:styleId="4">
    <w:name w:val="heading 3"/>
    <w:basedOn w:val="1"/>
    <w:next w:val="1"/>
    <w:autoRedefine/>
    <w:unhideWhenUsed/>
    <w:qFormat/>
    <w:uiPriority w:val="0"/>
    <w:pPr>
      <w:keepNext/>
      <w:keepLines/>
      <w:outlineLvl w:val="2"/>
    </w:pPr>
  </w:style>
  <w:style w:type="paragraph" w:styleId="5">
    <w:name w:val="heading 4"/>
    <w:basedOn w:val="1"/>
    <w:next w:val="1"/>
    <w:autoRedefine/>
    <w:unhideWhenUsed/>
    <w:qFormat/>
    <w:uiPriority w:val="0"/>
    <w:pPr>
      <w:keepNext/>
      <w:keepLines/>
      <w:outlineLvl w:val="3"/>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autoRedefine/>
    <w:qFormat/>
    <w:uiPriority w:val="0"/>
    <w:pPr>
      <w:ind w:left="840" w:leftChars="400"/>
    </w:pPr>
  </w:style>
  <w:style w:type="paragraph" w:styleId="7">
    <w:name w:val="Balloon Text"/>
    <w:basedOn w:val="1"/>
    <w:link w:val="20"/>
    <w:qFormat/>
    <w:uiPriority w:val="0"/>
    <w:pPr>
      <w:spacing w:line="240" w:lineRule="auto"/>
    </w:pPr>
    <w:rPr>
      <w:sz w:val="18"/>
      <w:szCs w:val="18"/>
    </w:rPr>
  </w:style>
  <w:style w:type="paragraph" w:styleId="8">
    <w:name w:val="footer"/>
    <w:basedOn w:val="1"/>
    <w:autoRedefine/>
    <w:qFormat/>
    <w:uiPriority w:val="0"/>
    <w:pPr>
      <w:tabs>
        <w:tab w:val="center" w:pos="4153"/>
        <w:tab w:val="right" w:pos="8306"/>
      </w:tabs>
    </w:pPr>
    <w:rPr>
      <w:sz w:val="18"/>
    </w:rPr>
  </w:style>
  <w:style w:type="paragraph" w:styleId="9">
    <w:name w:val="toc 1"/>
    <w:basedOn w:val="1"/>
    <w:next w:val="1"/>
    <w:qFormat/>
    <w:uiPriority w:val="0"/>
  </w:style>
  <w:style w:type="paragraph" w:styleId="10">
    <w:name w:val="toc 2"/>
    <w:basedOn w:val="1"/>
    <w:next w:val="1"/>
    <w:autoRedefine/>
    <w:qFormat/>
    <w:uiPriority w:val="0"/>
    <w:pPr>
      <w:ind w:left="420" w:leftChars="200"/>
    </w:pPr>
  </w:style>
  <w:style w:type="paragraph" w:styleId="11">
    <w:name w:val="Normal (Web)"/>
    <w:basedOn w:val="1"/>
    <w:autoRedefine/>
    <w:qFormat/>
    <w:uiPriority w:val="0"/>
    <w:pPr>
      <w:spacing w:beforeAutospacing="1" w:afterAutospacing="1"/>
    </w:pPr>
    <w:rPr>
      <w:rFonts w:cs="Times New Roman"/>
      <w:sz w:val="24"/>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4正文"/>
    <w:basedOn w:val="1"/>
    <w:qFormat/>
    <w:uiPriority w:val="0"/>
    <w:pPr>
      <w:ind w:firstLine="200"/>
    </w:pPr>
    <w:rPr>
      <w:rFonts w:ascii="Times New Roman" w:hAnsi="Times New Roman" w:cs="Times New Roman"/>
      <w:sz w:val="24"/>
      <w:szCs w:val="24"/>
    </w:rPr>
  </w:style>
  <w:style w:type="paragraph" w:customStyle="1" w:styleId="16">
    <w:name w:val="WPSOffice手动目录 1"/>
    <w:autoRedefine/>
    <w:qFormat/>
    <w:uiPriority w:val="0"/>
    <w:rPr>
      <w:rFonts w:ascii="Arial" w:hAnsi="Arial" w:eastAsia="Arial" w:cs="Arial"/>
      <w:lang w:val="en-US" w:eastAsia="zh-CN" w:bidi="ar-SA"/>
    </w:rPr>
  </w:style>
  <w:style w:type="paragraph" w:customStyle="1" w:styleId="17">
    <w:name w:val="WPSOffice手动目录 2"/>
    <w:autoRedefine/>
    <w:qFormat/>
    <w:uiPriority w:val="0"/>
    <w:pPr>
      <w:ind w:left="200" w:leftChars="200"/>
    </w:pPr>
    <w:rPr>
      <w:rFonts w:ascii="Arial" w:hAnsi="Arial" w:eastAsia="Arial" w:cs="Arial"/>
      <w:lang w:val="en-US" w:eastAsia="zh-CN" w:bidi="ar-SA"/>
    </w:rPr>
  </w:style>
  <w:style w:type="character" w:customStyle="1" w:styleId="18">
    <w:name w:val="font11"/>
    <w:basedOn w:val="13"/>
    <w:autoRedefine/>
    <w:qFormat/>
    <w:uiPriority w:val="0"/>
    <w:rPr>
      <w:rFonts w:hint="eastAsia" w:ascii="宋体" w:hAnsi="宋体" w:eastAsia="宋体" w:cs="宋体"/>
      <w:b/>
      <w:bCs/>
      <w:color w:val="000000"/>
      <w:sz w:val="18"/>
      <w:szCs w:val="18"/>
      <w:u w:val="none"/>
    </w:rPr>
  </w:style>
  <w:style w:type="character" w:customStyle="1" w:styleId="19">
    <w:name w:val="font21"/>
    <w:basedOn w:val="13"/>
    <w:autoRedefine/>
    <w:qFormat/>
    <w:uiPriority w:val="0"/>
    <w:rPr>
      <w:rFonts w:hint="eastAsia" w:ascii="宋体" w:hAnsi="宋体" w:eastAsia="宋体" w:cs="宋体"/>
      <w:color w:val="000000"/>
      <w:sz w:val="18"/>
      <w:szCs w:val="18"/>
      <w:u w:val="none"/>
    </w:rPr>
  </w:style>
  <w:style w:type="character" w:customStyle="1" w:styleId="20">
    <w:name w:val="批注框文本 Char"/>
    <w:basedOn w:val="13"/>
    <w:link w:val="7"/>
    <w:qFormat/>
    <w:uiPriority w:val="0"/>
    <w:rPr>
      <w:rFonts w:ascii="Arial" w:hAnsi="Arial" w:eastAsia="仿宋_GB2312" w:cs="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10070</Words>
  <Characters>10990</Characters>
  <Lines>105</Lines>
  <Paragraphs>29</Paragraphs>
  <TotalTime>35</TotalTime>
  <ScaleCrop>false</ScaleCrop>
  <LinksUpToDate>false</LinksUpToDate>
  <CharactersWithSpaces>11042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2022-06-30T10:14:00Z</dcterms:created>
  <dc:creator>Administrator</dc:creator>
  <cp:lastModifiedBy>WPS_1594364136</cp:lastModifiedBy>
  <cp:lastPrinted>2025-05-12T01:47:13Z</cp:lastPrinted>
  <dcterms:modified xsi:type="dcterms:W3CDTF">2025-05-12T01:47:50Z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2023-05-07T10:05:40Z</vt:filetime>
  </property>
  <property fmtid="{D5CDD505-2E9C-101B-9397-08002B2CF9AE}" pid="4" name="KSOProductBuildVer">
    <vt:lpwstr>2052-12.1.0.20784</vt:lpwstr>
  </property>
  <property fmtid="{D5CDD505-2E9C-101B-9397-08002B2CF9AE}" pid="5" name="ICV">
    <vt:lpwstr>48EBBECBFF55495A9F6CC218AFBFC1C8_13</vt:lpwstr>
  </property>
  <property fmtid="{D5CDD505-2E9C-101B-9397-08002B2CF9AE}" pid="6" name="KSOTemplateDocerSaveRecord">
    <vt:lpwstr>eyJoZGlkIjoiZjU0ZGM0NmRjMTMyYWJjZDhlZWVkN2JiNTU2YjU0ZWUiLCJ1c2VySWQiOiIxMDMzNjQ3MzA0In0=</vt:lpwstr>
  </property>
</Properties>
</file>