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DB401">
      <w:pPr>
        <w:pStyle w:val="11"/>
        <w:widowControl w:val="0"/>
        <w:kinsoku/>
        <w:autoSpaceDE/>
        <w:autoSpaceDN/>
        <w:adjustRightInd/>
        <w:snapToGrid/>
        <w:spacing w:beforeAutospacing="0" w:afterAutospacing="0"/>
        <w:jc w:val="center"/>
        <w:rPr>
          <w:rFonts w:ascii="宋体" w:hAnsi="宋体" w:eastAsia="方正小标宋简体" w:cs="方正小标宋简体"/>
          <w:b/>
          <w:bCs/>
          <w:color w:val="333333"/>
          <w:sz w:val="36"/>
          <w:szCs w:val="36"/>
          <w:shd w:val="clear" w:color="auto" w:fill="FFFFFF"/>
        </w:rPr>
      </w:pPr>
    </w:p>
    <w:p w14:paraId="02499BF1">
      <w:pPr>
        <w:pStyle w:val="11"/>
        <w:widowControl w:val="0"/>
        <w:kinsoku/>
        <w:autoSpaceDE/>
        <w:autoSpaceDN/>
        <w:adjustRightInd/>
        <w:snapToGrid/>
        <w:spacing w:beforeAutospacing="0" w:afterAutospacing="0"/>
        <w:jc w:val="center"/>
        <w:rPr>
          <w:rFonts w:ascii="宋体" w:hAnsi="宋体" w:eastAsia="方正小标宋简体" w:cs="方正小标宋简体"/>
          <w:b/>
          <w:bCs/>
          <w:color w:val="333333"/>
          <w:sz w:val="36"/>
          <w:szCs w:val="36"/>
          <w:shd w:val="clear" w:color="auto" w:fill="FFFFFF"/>
        </w:rPr>
      </w:pPr>
    </w:p>
    <w:p w14:paraId="6E933A97">
      <w:pPr>
        <w:pStyle w:val="11"/>
        <w:widowControl w:val="0"/>
        <w:kinsoku/>
        <w:autoSpaceDE/>
        <w:autoSpaceDN/>
        <w:adjustRightInd/>
        <w:snapToGrid/>
        <w:spacing w:beforeAutospacing="0" w:afterAutospacing="0"/>
        <w:jc w:val="center"/>
        <w:rPr>
          <w:rFonts w:ascii="宋体" w:hAnsi="宋体" w:eastAsia="方正小标宋简体" w:cs="方正小标宋简体"/>
          <w:b/>
          <w:bCs/>
          <w:color w:val="333333"/>
          <w:sz w:val="36"/>
          <w:szCs w:val="36"/>
          <w:shd w:val="clear" w:color="auto" w:fill="FFFFFF"/>
        </w:rPr>
      </w:pPr>
    </w:p>
    <w:p w14:paraId="5BB3F3E1">
      <w:pPr>
        <w:pStyle w:val="11"/>
        <w:widowControl w:val="0"/>
        <w:kinsoku/>
        <w:autoSpaceDE/>
        <w:autoSpaceDN/>
        <w:adjustRightInd/>
        <w:snapToGrid/>
        <w:spacing w:beforeAutospacing="0" w:afterAutospacing="0"/>
        <w:ind w:firstLine="0" w:firstLineChars="0"/>
        <w:jc w:val="center"/>
        <w:outlineLvl w:val="0"/>
        <w:rPr>
          <w:rFonts w:ascii="宋体" w:hAnsi="宋体" w:eastAsia="方正小标宋简体" w:cs="方正小标宋简体"/>
          <w:bCs/>
          <w:snapToGrid/>
          <w:kern w:val="2"/>
          <w:sz w:val="44"/>
          <w:szCs w:val="44"/>
        </w:rPr>
      </w:pPr>
      <w:bookmarkStart w:id="0" w:name="_Toc29917"/>
      <w:bookmarkStart w:id="1" w:name="_Toc25819"/>
      <w:bookmarkStart w:id="2" w:name="_Toc14765"/>
      <w:bookmarkStart w:id="3" w:name="_Toc15444"/>
      <w:r>
        <w:rPr>
          <w:rFonts w:hint="eastAsia" w:ascii="宋体" w:hAnsi="宋体" w:eastAsia="方正小标宋简体" w:cs="方正小标宋简体"/>
          <w:bCs/>
          <w:snapToGrid/>
          <w:kern w:val="2"/>
          <w:sz w:val="44"/>
          <w:szCs w:val="44"/>
        </w:rPr>
        <w:t>长春市宽城区卫生综合体建设项目</w:t>
      </w:r>
      <w:bookmarkEnd w:id="0"/>
      <w:bookmarkEnd w:id="1"/>
      <w:bookmarkEnd w:id="2"/>
      <w:bookmarkEnd w:id="3"/>
    </w:p>
    <w:p w14:paraId="351F3E1B">
      <w:pPr>
        <w:pStyle w:val="11"/>
        <w:widowControl w:val="0"/>
        <w:kinsoku/>
        <w:autoSpaceDE/>
        <w:autoSpaceDN/>
        <w:adjustRightInd/>
        <w:snapToGrid/>
        <w:spacing w:beforeAutospacing="0" w:afterAutospacing="0"/>
        <w:ind w:firstLine="0" w:firstLineChars="0"/>
        <w:jc w:val="center"/>
        <w:outlineLvl w:val="0"/>
        <w:rPr>
          <w:rFonts w:ascii="宋体" w:hAnsi="宋体" w:eastAsia="方正小标宋简体" w:cs="方正小标宋简体"/>
          <w:bCs/>
          <w:snapToGrid/>
          <w:kern w:val="2"/>
          <w:sz w:val="44"/>
          <w:szCs w:val="44"/>
        </w:rPr>
      </w:pPr>
      <w:bookmarkStart w:id="4" w:name="_Toc4803"/>
      <w:bookmarkStart w:id="5" w:name="_Toc28671"/>
      <w:bookmarkStart w:id="6" w:name="_Toc1063"/>
      <w:bookmarkStart w:id="7" w:name="_Toc30179"/>
      <w:r>
        <w:rPr>
          <w:rFonts w:hint="eastAsia" w:ascii="宋体" w:hAnsi="宋体" w:eastAsia="方正小标宋简体" w:cs="方正小标宋简体"/>
          <w:bCs/>
          <w:snapToGrid/>
          <w:kern w:val="2"/>
          <w:sz w:val="44"/>
          <w:szCs w:val="44"/>
          <w:lang w:val="en-US" w:eastAsia="zh-CN"/>
        </w:rPr>
        <w:t>2025年度</w:t>
      </w:r>
      <w:r>
        <w:rPr>
          <w:rFonts w:hint="eastAsia" w:ascii="宋体" w:hAnsi="宋体" w:eastAsia="方正小标宋简体" w:cs="方正小标宋简体"/>
          <w:bCs/>
          <w:snapToGrid/>
          <w:kern w:val="2"/>
          <w:sz w:val="44"/>
          <w:szCs w:val="44"/>
        </w:rPr>
        <w:t>绩效评价报告</w:t>
      </w:r>
      <w:bookmarkEnd w:id="4"/>
      <w:bookmarkEnd w:id="5"/>
      <w:bookmarkEnd w:id="6"/>
      <w:bookmarkEnd w:id="7"/>
    </w:p>
    <w:p w14:paraId="7D0B8C85">
      <w:pPr>
        <w:widowControl w:val="0"/>
        <w:ind w:firstLine="880"/>
        <w:rPr>
          <w:rFonts w:ascii="宋体" w:hAnsi="宋体" w:eastAsia="方正小标宋简体" w:cs="方正小标宋简体"/>
          <w:bCs/>
          <w:snapToGrid/>
          <w:kern w:val="2"/>
          <w:sz w:val="44"/>
          <w:szCs w:val="44"/>
        </w:rPr>
      </w:pPr>
    </w:p>
    <w:p w14:paraId="4AC1E76A">
      <w:pPr>
        <w:widowControl w:val="0"/>
        <w:ind w:firstLine="420"/>
        <w:rPr>
          <w:rFonts w:ascii="宋体" w:hAnsi="宋体" w:eastAsia="宋体"/>
          <w:sz w:val="21"/>
        </w:rPr>
      </w:pPr>
    </w:p>
    <w:p w14:paraId="64737ABB">
      <w:pPr>
        <w:widowControl w:val="0"/>
        <w:ind w:firstLine="420"/>
        <w:rPr>
          <w:rFonts w:ascii="宋体" w:hAnsi="宋体" w:eastAsia="宋体"/>
          <w:sz w:val="21"/>
        </w:rPr>
      </w:pPr>
    </w:p>
    <w:p w14:paraId="21F7D434">
      <w:pPr>
        <w:widowControl w:val="0"/>
        <w:ind w:firstLine="420"/>
        <w:rPr>
          <w:rFonts w:ascii="宋体" w:hAnsi="宋体" w:eastAsia="宋体"/>
          <w:sz w:val="21"/>
        </w:rPr>
      </w:pPr>
    </w:p>
    <w:p w14:paraId="2D150ABB">
      <w:pPr>
        <w:widowControl w:val="0"/>
        <w:ind w:firstLine="420"/>
        <w:rPr>
          <w:rFonts w:ascii="宋体" w:hAnsi="宋体" w:eastAsia="宋体"/>
          <w:sz w:val="21"/>
        </w:rPr>
      </w:pPr>
    </w:p>
    <w:p w14:paraId="2CAEE463">
      <w:pPr>
        <w:widowControl w:val="0"/>
        <w:ind w:firstLine="420"/>
        <w:rPr>
          <w:rFonts w:ascii="宋体" w:hAnsi="宋体" w:eastAsia="宋体"/>
          <w:sz w:val="21"/>
        </w:rPr>
      </w:pPr>
    </w:p>
    <w:p w14:paraId="71C6F211">
      <w:pPr>
        <w:pStyle w:val="11"/>
        <w:widowControl w:val="0"/>
        <w:kinsoku/>
        <w:autoSpaceDE/>
        <w:autoSpaceDN/>
        <w:adjustRightInd/>
        <w:snapToGrid/>
        <w:spacing w:beforeAutospacing="0" w:afterAutospacing="0"/>
        <w:ind w:firstLine="600"/>
        <w:rPr>
          <w:rFonts w:ascii="宋体" w:hAnsi="宋体" w:eastAsia="方正小标宋简体" w:cs="方正小标宋简体"/>
          <w:bCs/>
          <w:snapToGrid/>
          <w:kern w:val="2"/>
          <w:sz w:val="30"/>
          <w:szCs w:val="30"/>
        </w:rPr>
      </w:pPr>
    </w:p>
    <w:p w14:paraId="0A8DEFA2">
      <w:pPr>
        <w:pStyle w:val="11"/>
        <w:widowControl w:val="0"/>
        <w:kinsoku/>
        <w:autoSpaceDE/>
        <w:autoSpaceDN/>
        <w:adjustRightInd/>
        <w:snapToGrid/>
        <w:spacing w:before="10" w:beforeAutospacing="0" w:afterLines="150" w:afterAutospacing="0"/>
        <w:ind w:firstLine="640"/>
        <w:rPr>
          <w:rFonts w:hint="eastAsia" w:ascii="黑体" w:hAnsi="黑体" w:eastAsia="黑体" w:cs="黑体"/>
          <w:bCs/>
          <w:snapToGrid/>
          <w:kern w:val="2"/>
          <w:sz w:val="32"/>
          <w:szCs w:val="32"/>
        </w:rPr>
      </w:pPr>
    </w:p>
    <w:p w14:paraId="41539DCC">
      <w:pPr>
        <w:pStyle w:val="11"/>
        <w:widowControl w:val="0"/>
        <w:kinsoku/>
        <w:autoSpaceDE/>
        <w:autoSpaceDN/>
        <w:adjustRightInd/>
        <w:snapToGrid/>
        <w:spacing w:before="10" w:beforeAutospacing="0" w:afterLines="150" w:afterAutospacing="0"/>
        <w:ind w:firstLine="640"/>
        <w:rPr>
          <w:rFonts w:ascii="黑体" w:hAnsi="黑体" w:eastAsia="黑体" w:cs="黑体"/>
          <w:bCs/>
          <w:snapToGrid/>
          <w:kern w:val="2"/>
          <w:sz w:val="32"/>
          <w:szCs w:val="32"/>
        </w:rPr>
      </w:pPr>
      <w:r>
        <w:rPr>
          <w:rFonts w:hint="eastAsia" w:ascii="黑体" w:hAnsi="黑体" w:eastAsia="黑体" w:cs="黑体"/>
          <w:bCs/>
          <w:snapToGrid/>
          <w:kern w:val="2"/>
          <w:sz w:val="32"/>
          <w:szCs w:val="32"/>
        </w:rPr>
        <w:t>委托单位：长春宽城区经济开发区管理委员会</w:t>
      </w:r>
    </w:p>
    <w:p w14:paraId="03F209BA">
      <w:pPr>
        <w:widowControl w:val="0"/>
        <w:tabs>
          <w:tab w:val="right" w:leader="dot" w:pos="8702"/>
        </w:tabs>
        <w:spacing w:before="10" w:afterLines="150"/>
        <w:ind w:left="8" w:firstLine="640"/>
        <w:rPr>
          <w:rFonts w:hint="eastAsia" w:ascii="黑体" w:hAnsi="黑体" w:eastAsia="黑体" w:cs="黑体"/>
          <w:bCs/>
          <w:snapToGrid/>
          <w:kern w:val="2"/>
          <w:sz w:val="32"/>
          <w:szCs w:val="32"/>
        </w:rPr>
      </w:pPr>
      <w:r>
        <w:rPr>
          <w:rFonts w:hint="eastAsia" w:ascii="黑体" w:hAnsi="黑体" w:eastAsia="黑体" w:cs="黑体"/>
          <w:bCs/>
          <w:snapToGrid/>
          <w:kern w:val="2"/>
          <w:sz w:val="32"/>
          <w:szCs w:val="32"/>
        </w:rPr>
        <w:t>评价机构：长春</w:t>
      </w:r>
      <w:r>
        <w:rPr>
          <w:rFonts w:hint="eastAsia" w:ascii="黑体" w:hAnsi="黑体" w:eastAsia="黑体" w:cs="黑体"/>
          <w:bCs/>
          <w:snapToGrid/>
          <w:kern w:val="2"/>
          <w:sz w:val="32"/>
          <w:szCs w:val="32"/>
          <w:lang w:val="en-US" w:eastAsia="zh-CN"/>
        </w:rPr>
        <w:t>市华伟</w:t>
      </w:r>
      <w:r>
        <w:rPr>
          <w:rFonts w:hint="eastAsia" w:ascii="黑体" w:hAnsi="黑体" w:eastAsia="黑体" w:cs="黑体"/>
          <w:bCs/>
          <w:snapToGrid/>
          <w:kern w:val="2"/>
          <w:sz w:val="32"/>
          <w:szCs w:val="32"/>
        </w:rPr>
        <w:t>会计师事务所（普通合伙）</w:t>
      </w:r>
    </w:p>
    <w:p w14:paraId="3D248D40">
      <w:pPr>
        <w:widowControl w:val="0"/>
        <w:tabs>
          <w:tab w:val="right" w:leader="dot" w:pos="8702"/>
        </w:tabs>
        <w:spacing w:before="10" w:afterLines="150"/>
        <w:ind w:left="8" w:firstLine="640"/>
        <w:rPr>
          <w:rFonts w:hint="default" w:ascii="黑体" w:hAnsi="黑体" w:eastAsia="黑体" w:cs="黑体"/>
          <w:bCs/>
          <w:snapToGrid/>
          <w:kern w:val="2"/>
          <w:sz w:val="32"/>
          <w:szCs w:val="32"/>
          <w:lang w:val="en-US" w:eastAsia="zh-CN"/>
        </w:rPr>
      </w:pPr>
      <w:r>
        <w:rPr>
          <w:rFonts w:hint="eastAsia" w:ascii="黑体" w:hAnsi="黑体" w:eastAsia="黑体" w:cs="黑体"/>
          <w:bCs/>
          <w:snapToGrid/>
          <w:kern w:val="2"/>
          <w:sz w:val="32"/>
          <w:szCs w:val="32"/>
          <w:lang w:val="en-US" w:eastAsia="zh-CN"/>
        </w:rPr>
        <w:t>评价时间：2026年6月29日</w:t>
      </w:r>
    </w:p>
    <w:p w14:paraId="12FDD23D">
      <w:pPr>
        <w:widowControl w:val="0"/>
        <w:tabs>
          <w:tab w:val="right" w:leader="dot" w:pos="8702"/>
        </w:tabs>
        <w:spacing w:before="101"/>
        <w:ind w:left="8" w:firstLine="600"/>
        <w:rPr>
          <w:rFonts w:ascii="宋体" w:hAnsi="宋体" w:eastAsia="方正小标宋简体" w:cs="方正小标宋简体"/>
          <w:bCs/>
          <w:snapToGrid/>
          <w:kern w:val="2"/>
          <w:szCs w:val="30"/>
        </w:rPr>
      </w:pPr>
    </w:p>
    <w:p w14:paraId="52C2EFF1">
      <w:pPr>
        <w:widowControl w:val="0"/>
        <w:ind w:firstLine="0" w:firstLineChars="0"/>
        <w:rPr>
          <w:rFonts w:ascii="宋体" w:hAnsi="宋体" w:eastAsia="方正小标宋简体" w:cs="方正小标宋简体"/>
          <w:spacing w:val="-4"/>
          <w:sz w:val="36"/>
          <w:szCs w:val="36"/>
        </w:rPr>
      </w:pPr>
    </w:p>
    <w:p w14:paraId="49FA4AE7">
      <w:pPr>
        <w:spacing w:beforeLines="150"/>
        <w:jc w:val="center"/>
        <w:rPr>
          <w:rFonts w:hint="eastAsia" w:ascii="宋体" w:hAnsi="宋体" w:eastAsia="方正小标宋简体" w:cs="方正小标宋简体"/>
          <w:b/>
          <w:bCs/>
          <w:sz w:val="36"/>
          <w:szCs w:val="36"/>
        </w:rPr>
      </w:pPr>
    </w:p>
    <w:p w14:paraId="7F48E752">
      <w:pPr>
        <w:spacing w:before="0" w:beforeLines="0" w:after="0" w:afterLines="0" w:line="240" w:lineRule="auto"/>
        <w:ind w:left="0" w:leftChars="0" w:right="0" w:rightChars="0" w:firstLine="0" w:firstLineChars="0"/>
        <w:jc w:val="center"/>
        <w:rPr>
          <w:rFonts w:ascii="宋体" w:hAnsi="宋体" w:eastAsia="宋体" w:cs="Arial"/>
          <w:b/>
          <w:bCs/>
          <w:snapToGrid w:val="0"/>
          <w:color w:val="000000"/>
          <w:sz w:val="32"/>
          <w:szCs w:val="32"/>
          <w:lang w:val="en-US" w:eastAsia="zh-CN" w:bidi="ar-SA"/>
        </w:rPr>
        <w:sectPr>
          <w:headerReference r:id="rId5" w:type="default"/>
          <w:footerReference r:id="rId6" w:type="default"/>
          <w:pgSz w:w="11906" w:h="16839"/>
          <w:pgMar w:top="1440" w:right="1800" w:bottom="1440" w:left="1800" w:header="0" w:footer="1059" w:gutter="0"/>
          <w:pgNumType w:fmt="decimal" w:start="1"/>
          <w:cols w:space="720" w:num="1"/>
        </w:sectPr>
      </w:pPr>
    </w:p>
    <w:sdt>
      <w:sdtPr>
        <w:rPr>
          <w:rFonts w:ascii="宋体" w:hAnsi="宋体" w:eastAsia="宋体" w:cs="Arial"/>
          <w:snapToGrid w:val="0"/>
          <w:color w:val="000000"/>
          <w:sz w:val="44"/>
          <w:szCs w:val="44"/>
          <w:lang w:val="en-US" w:eastAsia="zh-CN" w:bidi="ar-SA"/>
        </w:rPr>
        <w:id w:val="147459754"/>
        <w15:color w:val="DBDBDB"/>
        <w:docPartObj>
          <w:docPartGallery w:val="Table of Contents"/>
          <w:docPartUnique/>
        </w:docPartObj>
      </w:sdtPr>
      <w:sdtContent>
        <w:p w14:paraId="75B5A0B8">
          <w:pPr>
            <w:spacing w:before="0" w:beforeLines="0" w:after="0" w:afterLines="0" w:line="240" w:lineRule="auto"/>
            <w:ind w:left="0" w:leftChars="0" w:right="0" w:rightChars="0" w:firstLine="0" w:firstLineChars="0"/>
            <w:jc w:val="center"/>
            <w:rPr>
              <w:rFonts w:ascii="宋体" w:hAnsi="宋体" w:eastAsia="宋体"/>
              <w:sz w:val="44"/>
              <w:szCs w:val="44"/>
            </w:rPr>
          </w:pPr>
          <w:r>
            <w:rPr>
              <w:rFonts w:ascii="宋体" w:hAnsi="宋体" w:eastAsia="宋体"/>
              <w:sz w:val="44"/>
              <w:szCs w:val="44"/>
            </w:rPr>
            <w:t>目录</w:t>
          </w:r>
        </w:p>
        <w:p w14:paraId="2043CBF5">
          <w:pPr>
            <w:spacing w:before="0" w:beforeLines="0" w:after="0" w:afterLines="0" w:line="240" w:lineRule="auto"/>
            <w:ind w:left="0" w:leftChars="0" w:right="0" w:rightChars="0" w:firstLine="0" w:firstLineChars="0"/>
            <w:jc w:val="center"/>
            <w:rPr>
              <w:rFonts w:ascii="宋体" w:hAnsi="宋体" w:eastAsia="宋体"/>
              <w:sz w:val="44"/>
              <w:szCs w:val="44"/>
            </w:rPr>
          </w:pPr>
        </w:p>
        <w:p w14:paraId="0AF19030">
          <w:pPr>
            <w:pStyle w:val="9"/>
            <w:tabs>
              <w:tab w:val="right" w:leader="dot" w:pos="8306"/>
            </w:tabs>
            <w:rPr>
              <w:sz w:val="28"/>
              <w:szCs w:val="28"/>
            </w:rPr>
          </w:pPr>
          <w:r>
            <w:rPr>
              <w:sz w:val="28"/>
              <w:szCs w:val="28"/>
            </w:rPr>
            <w:fldChar w:fldCharType="begin"/>
          </w:r>
          <w:r>
            <w:rPr>
              <w:sz w:val="28"/>
              <w:szCs w:val="28"/>
            </w:rPr>
            <w:instrText xml:space="preserve"> HYPERLINK \l _Toc1821 </w:instrText>
          </w:r>
          <w:r>
            <w:rPr>
              <w:sz w:val="28"/>
              <w:szCs w:val="28"/>
            </w:rPr>
            <w:fldChar w:fldCharType="separate"/>
          </w:r>
          <w:r>
            <w:rPr>
              <w:rFonts w:hint="eastAsia" w:ascii="宋体" w:hAnsi="宋体"/>
              <w:sz w:val="28"/>
              <w:szCs w:val="28"/>
              <w:lang w:val="en-US" w:eastAsia="zh-CN"/>
            </w:rPr>
            <w:t>一</w:t>
          </w:r>
          <w:r>
            <w:rPr>
              <w:rFonts w:hint="eastAsia" w:ascii="宋体" w:hAnsi="宋体"/>
              <w:sz w:val="28"/>
              <w:szCs w:val="28"/>
            </w:rPr>
            <w:t>、</w:t>
          </w:r>
          <w:r>
            <w:rPr>
              <w:rFonts w:hint="eastAsia" w:ascii="宋体" w:hAnsi="宋体"/>
              <w:sz w:val="28"/>
              <w:szCs w:val="28"/>
              <w:lang w:val="en-US" w:eastAsia="zh-CN"/>
            </w:rPr>
            <w:t>项目概况</w:t>
          </w:r>
          <w:r>
            <w:rPr>
              <w:sz w:val="28"/>
              <w:szCs w:val="28"/>
            </w:rPr>
            <w:tab/>
          </w:r>
          <w:r>
            <w:rPr>
              <w:rFonts w:hint="eastAsia"/>
              <w:sz w:val="28"/>
              <w:szCs w:val="28"/>
              <w:lang w:val="en-US" w:eastAsia="zh-CN"/>
            </w:rPr>
            <w:t>1</w:t>
          </w:r>
          <w:r>
            <w:rPr>
              <w:sz w:val="28"/>
              <w:szCs w:val="28"/>
            </w:rPr>
            <w:fldChar w:fldCharType="end"/>
          </w:r>
          <w:r>
            <w:rPr>
              <w:sz w:val="28"/>
              <w:szCs w:val="28"/>
            </w:rPr>
            <w:fldChar w:fldCharType="begin"/>
          </w:r>
          <w:r>
            <w:rPr>
              <w:sz w:val="28"/>
              <w:szCs w:val="28"/>
            </w:rPr>
            <w:instrText xml:space="preserve">TOC \o "1-2" \h \u </w:instrText>
          </w:r>
          <w:r>
            <w:rPr>
              <w:sz w:val="28"/>
              <w:szCs w:val="28"/>
            </w:rPr>
            <w:fldChar w:fldCharType="separate"/>
          </w:r>
        </w:p>
        <w:p w14:paraId="006F08CF">
          <w:pPr>
            <w:pStyle w:val="10"/>
            <w:tabs>
              <w:tab w:val="right" w:leader="dot" w:pos="8306"/>
            </w:tabs>
            <w:rPr>
              <w:sz w:val="28"/>
              <w:szCs w:val="28"/>
            </w:rPr>
          </w:pPr>
          <w:r>
            <w:rPr>
              <w:sz w:val="28"/>
              <w:szCs w:val="28"/>
            </w:rPr>
            <w:fldChar w:fldCharType="begin"/>
          </w:r>
          <w:r>
            <w:rPr>
              <w:sz w:val="28"/>
              <w:szCs w:val="28"/>
            </w:rPr>
            <w:instrText xml:space="preserve"> HYPERLINK \l _Toc18757 </w:instrText>
          </w:r>
          <w:r>
            <w:rPr>
              <w:sz w:val="28"/>
              <w:szCs w:val="28"/>
            </w:rPr>
            <w:fldChar w:fldCharType="separate"/>
          </w:r>
          <w:r>
            <w:rPr>
              <w:rFonts w:hint="eastAsia" w:ascii="宋体" w:hAnsi="宋体"/>
              <w:sz w:val="28"/>
              <w:szCs w:val="28"/>
            </w:rPr>
            <w:t>（</w:t>
          </w:r>
          <w:r>
            <w:rPr>
              <w:rFonts w:hint="eastAsia" w:ascii="宋体" w:hAnsi="宋体"/>
              <w:sz w:val="28"/>
              <w:szCs w:val="28"/>
              <w:lang w:val="en-US" w:eastAsia="zh-CN"/>
            </w:rPr>
            <w:t>一</w:t>
          </w:r>
          <w:r>
            <w:rPr>
              <w:rFonts w:hint="eastAsia" w:ascii="宋体" w:hAnsi="宋体"/>
              <w:sz w:val="28"/>
              <w:szCs w:val="28"/>
            </w:rPr>
            <w:t>）项目立项的背景和目标</w:t>
          </w:r>
          <w:r>
            <w:rPr>
              <w:sz w:val="28"/>
              <w:szCs w:val="28"/>
            </w:rPr>
            <w:tab/>
          </w:r>
          <w:r>
            <w:rPr>
              <w:rFonts w:hint="eastAsia"/>
              <w:sz w:val="28"/>
              <w:szCs w:val="28"/>
              <w:lang w:val="en-US" w:eastAsia="zh-CN"/>
            </w:rPr>
            <w:t>1</w:t>
          </w:r>
          <w:r>
            <w:rPr>
              <w:sz w:val="28"/>
              <w:szCs w:val="28"/>
            </w:rPr>
            <w:fldChar w:fldCharType="end"/>
          </w:r>
        </w:p>
        <w:p w14:paraId="36547F37">
          <w:pPr>
            <w:pStyle w:val="10"/>
            <w:tabs>
              <w:tab w:val="right" w:leader="dot" w:pos="8306"/>
            </w:tabs>
            <w:rPr>
              <w:sz w:val="28"/>
              <w:szCs w:val="28"/>
            </w:rPr>
          </w:pPr>
          <w:r>
            <w:rPr>
              <w:sz w:val="28"/>
              <w:szCs w:val="28"/>
            </w:rPr>
            <w:fldChar w:fldCharType="begin"/>
          </w:r>
          <w:r>
            <w:rPr>
              <w:sz w:val="28"/>
              <w:szCs w:val="28"/>
            </w:rPr>
            <w:instrText xml:space="preserve"> HYPERLINK \l _Toc18757 </w:instrText>
          </w:r>
          <w:r>
            <w:rPr>
              <w:sz w:val="28"/>
              <w:szCs w:val="28"/>
            </w:rPr>
            <w:fldChar w:fldCharType="separate"/>
          </w:r>
          <w:r>
            <w:rPr>
              <w:rFonts w:hint="eastAsia" w:ascii="宋体" w:hAnsi="宋体"/>
              <w:sz w:val="28"/>
              <w:szCs w:val="28"/>
            </w:rPr>
            <w:t>（二）项目绩效目标</w:t>
          </w:r>
          <w:r>
            <w:rPr>
              <w:sz w:val="28"/>
              <w:szCs w:val="28"/>
            </w:rPr>
            <w:tab/>
          </w:r>
          <w:r>
            <w:rPr>
              <w:sz w:val="28"/>
              <w:szCs w:val="28"/>
            </w:rPr>
            <w:fldChar w:fldCharType="begin"/>
          </w:r>
          <w:r>
            <w:rPr>
              <w:sz w:val="28"/>
              <w:szCs w:val="28"/>
            </w:rPr>
            <w:instrText xml:space="preserve"> PAGEREF _Toc18757 \h </w:instrText>
          </w:r>
          <w:r>
            <w:rPr>
              <w:sz w:val="28"/>
              <w:szCs w:val="28"/>
            </w:rPr>
            <w:fldChar w:fldCharType="separate"/>
          </w:r>
          <w:r>
            <w:rPr>
              <w:sz w:val="28"/>
              <w:szCs w:val="28"/>
            </w:rPr>
            <w:t>5</w:t>
          </w:r>
          <w:r>
            <w:rPr>
              <w:sz w:val="28"/>
              <w:szCs w:val="28"/>
            </w:rPr>
            <w:fldChar w:fldCharType="end"/>
          </w:r>
          <w:r>
            <w:rPr>
              <w:sz w:val="28"/>
              <w:szCs w:val="28"/>
            </w:rPr>
            <w:fldChar w:fldCharType="end"/>
          </w:r>
        </w:p>
        <w:p w14:paraId="43BD6715">
          <w:pPr>
            <w:pStyle w:val="9"/>
            <w:tabs>
              <w:tab w:val="right" w:leader="dot" w:pos="8306"/>
            </w:tabs>
            <w:rPr>
              <w:sz w:val="28"/>
              <w:szCs w:val="28"/>
            </w:rPr>
          </w:pPr>
          <w:r>
            <w:rPr>
              <w:sz w:val="28"/>
              <w:szCs w:val="28"/>
            </w:rPr>
            <w:fldChar w:fldCharType="begin"/>
          </w:r>
          <w:r>
            <w:rPr>
              <w:sz w:val="28"/>
              <w:szCs w:val="28"/>
            </w:rPr>
            <w:instrText xml:space="preserve"> HYPERLINK \l _Toc1821 </w:instrText>
          </w:r>
          <w:r>
            <w:rPr>
              <w:sz w:val="28"/>
              <w:szCs w:val="28"/>
            </w:rPr>
            <w:fldChar w:fldCharType="separate"/>
          </w:r>
          <w:r>
            <w:rPr>
              <w:rFonts w:hint="eastAsia" w:ascii="宋体" w:hAnsi="宋体"/>
              <w:sz w:val="28"/>
              <w:szCs w:val="28"/>
            </w:rPr>
            <w:t>二、绩效评价工作开展情况</w:t>
          </w:r>
          <w:r>
            <w:rPr>
              <w:sz w:val="28"/>
              <w:szCs w:val="28"/>
            </w:rPr>
            <w:tab/>
          </w:r>
          <w:r>
            <w:rPr>
              <w:sz w:val="28"/>
              <w:szCs w:val="28"/>
            </w:rPr>
            <w:fldChar w:fldCharType="begin"/>
          </w:r>
          <w:r>
            <w:rPr>
              <w:sz w:val="28"/>
              <w:szCs w:val="28"/>
            </w:rPr>
            <w:instrText xml:space="preserve"> PAGEREF _Toc1821 \h </w:instrText>
          </w:r>
          <w:r>
            <w:rPr>
              <w:sz w:val="28"/>
              <w:szCs w:val="28"/>
            </w:rPr>
            <w:fldChar w:fldCharType="separate"/>
          </w:r>
          <w:r>
            <w:rPr>
              <w:sz w:val="28"/>
              <w:szCs w:val="28"/>
            </w:rPr>
            <w:t>5</w:t>
          </w:r>
          <w:r>
            <w:rPr>
              <w:sz w:val="28"/>
              <w:szCs w:val="28"/>
            </w:rPr>
            <w:fldChar w:fldCharType="end"/>
          </w:r>
          <w:r>
            <w:rPr>
              <w:sz w:val="28"/>
              <w:szCs w:val="28"/>
            </w:rPr>
            <w:fldChar w:fldCharType="end"/>
          </w:r>
        </w:p>
        <w:p w14:paraId="010E9BCB">
          <w:pPr>
            <w:pStyle w:val="10"/>
            <w:tabs>
              <w:tab w:val="right" w:leader="dot" w:pos="8306"/>
            </w:tabs>
            <w:rPr>
              <w:sz w:val="28"/>
              <w:szCs w:val="28"/>
            </w:rPr>
          </w:pPr>
          <w:r>
            <w:rPr>
              <w:sz w:val="28"/>
              <w:szCs w:val="28"/>
            </w:rPr>
            <w:fldChar w:fldCharType="begin"/>
          </w:r>
          <w:r>
            <w:rPr>
              <w:sz w:val="28"/>
              <w:szCs w:val="28"/>
            </w:rPr>
            <w:instrText xml:space="preserve"> HYPERLINK \l _Toc15624 </w:instrText>
          </w:r>
          <w:r>
            <w:rPr>
              <w:sz w:val="28"/>
              <w:szCs w:val="28"/>
            </w:rPr>
            <w:fldChar w:fldCharType="separate"/>
          </w:r>
          <w:r>
            <w:rPr>
              <w:rFonts w:hint="eastAsia" w:ascii="宋体" w:hAnsi="宋体"/>
              <w:sz w:val="28"/>
              <w:szCs w:val="28"/>
            </w:rPr>
            <w:t>（一）绩效评价目的、对象和范围</w:t>
          </w:r>
          <w:r>
            <w:rPr>
              <w:sz w:val="28"/>
              <w:szCs w:val="28"/>
            </w:rPr>
            <w:tab/>
          </w:r>
          <w:r>
            <w:rPr>
              <w:sz w:val="28"/>
              <w:szCs w:val="28"/>
            </w:rPr>
            <w:fldChar w:fldCharType="begin"/>
          </w:r>
          <w:r>
            <w:rPr>
              <w:sz w:val="28"/>
              <w:szCs w:val="28"/>
            </w:rPr>
            <w:instrText xml:space="preserve"> PAGEREF _Toc15624 \h </w:instrText>
          </w:r>
          <w:r>
            <w:rPr>
              <w:sz w:val="28"/>
              <w:szCs w:val="28"/>
            </w:rPr>
            <w:fldChar w:fldCharType="separate"/>
          </w:r>
          <w:r>
            <w:rPr>
              <w:sz w:val="28"/>
              <w:szCs w:val="28"/>
            </w:rPr>
            <w:t>5</w:t>
          </w:r>
          <w:r>
            <w:rPr>
              <w:sz w:val="28"/>
              <w:szCs w:val="28"/>
            </w:rPr>
            <w:fldChar w:fldCharType="end"/>
          </w:r>
          <w:r>
            <w:rPr>
              <w:sz w:val="28"/>
              <w:szCs w:val="28"/>
            </w:rPr>
            <w:fldChar w:fldCharType="end"/>
          </w:r>
        </w:p>
        <w:p w14:paraId="0C4A4202">
          <w:pPr>
            <w:pStyle w:val="10"/>
            <w:tabs>
              <w:tab w:val="right" w:leader="dot" w:pos="8306"/>
            </w:tabs>
            <w:rPr>
              <w:sz w:val="28"/>
              <w:szCs w:val="28"/>
            </w:rPr>
          </w:pPr>
          <w:r>
            <w:rPr>
              <w:sz w:val="28"/>
              <w:szCs w:val="28"/>
            </w:rPr>
            <w:fldChar w:fldCharType="begin"/>
          </w:r>
          <w:r>
            <w:rPr>
              <w:sz w:val="28"/>
              <w:szCs w:val="28"/>
            </w:rPr>
            <w:instrText xml:space="preserve"> HYPERLINK \l _Toc18080 </w:instrText>
          </w:r>
          <w:r>
            <w:rPr>
              <w:sz w:val="28"/>
              <w:szCs w:val="28"/>
            </w:rPr>
            <w:fldChar w:fldCharType="separate"/>
          </w:r>
          <w:r>
            <w:rPr>
              <w:rFonts w:hint="eastAsia" w:ascii="宋体" w:hAnsi="宋体"/>
              <w:sz w:val="28"/>
              <w:szCs w:val="28"/>
            </w:rPr>
            <w:t>（二） 绩效评价依据</w:t>
          </w:r>
          <w:r>
            <w:rPr>
              <w:sz w:val="28"/>
              <w:szCs w:val="28"/>
            </w:rPr>
            <w:tab/>
          </w:r>
          <w:r>
            <w:rPr>
              <w:sz w:val="28"/>
              <w:szCs w:val="28"/>
            </w:rPr>
            <w:fldChar w:fldCharType="begin"/>
          </w:r>
          <w:r>
            <w:rPr>
              <w:sz w:val="28"/>
              <w:szCs w:val="28"/>
            </w:rPr>
            <w:instrText xml:space="preserve"> PAGEREF _Toc18080 \h </w:instrText>
          </w:r>
          <w:r>
            <w:rPr>
              <w:sz w:val="28"/>
              <w:szCs w:val="28"/>
            </w:rPr>
            <w:fldChar w:fldCharType="separate"/>
          </w:r>
          <w:r>
            <w:rPr>
              <w:sz w:val="28"/>
              <w:szCs w:val="28"/>
            </w:rPr>
            <w:t>6</w:t>
          </w:r>
          <w:r>
            <w:rPr>
              <w:sz w:val="28"/>
              <w:szCs w:val="28"/>
            </w:rPr>
            <w:fldChar w:fldCharType="end"/>
          </w:r>
          <w:r>
            <w:rPr>
              <w:sz w:val="28"/>
              <w:szCs w:val="28"/>
            </w:rPr>
            <w:fldChar w:fldCharType="end"/>
          </w:r>
        </w:p>
        <w:p w14:paraId="13A38B1F">
          <w:pPr>
            <w:pStyle w:val="10"/>
            <w:tabs>
              <w:tab w:val="right" w:leader="dot" w:pos="8306"/>
            </w:tabs>
            <w:rPr>
              <w:sz w:val="28"/>
              <w:szCs w:val="28"/>
            </w:rPr>
          </w:pPr>
          <w:r>
            <w:rPr>
              <w:sz w:val="28"/>
              <w:szCs w:val="28"/>
            </w:rPr>
            <w:fldChar w:fldCharType="begin"/>
          </w:r>
          <w:r>
            <w:rPr>
              <w:sz w:val="28"/>
              <w:szCs w:val="28"/>
            </w:rPr>
            <w:instrText xml:space="preserve"> HYPERLINK \l _Toc31424 </w:instrText>
          </w:r>
          <w:r>
            <w:rPr>
              <w:sz w:val="28"/>
              <w:szCs w:val="28"/>
            </w:rPr>
            <w:fldChar w:fldCharType="separate"/>
          </w:r>
          <w:r>
            <w:rPr>
              <w:rFonts w:hint="eastAsia" w:ascii="宋体" w:hAnsi="宋体"/>
              <w:sz w:val="28"/>
              <w:szCs w:val="28"/>
            </w:rPr>
            <w:t>（三）绩效评价原则</w:t>
          </w:r>
          <w:r>
            <w:rPr>
              <w:sz w:val="28"/>
              <w:szCs w:val="28"/>
            </w:rPr>
            <w:tab/>
          </w:r>
          <w:r>
            <w:rPr>
              <w:sz w:val="28"/>
              <w:szCs w:val="28"/>
            </w:rPr>
            <w:fldChar w:fldCharType="begin"/>
          </w:r>
          <w:r>
            <w:rPr>
              <w:sz w:val="28"/>
              <w:szCs w:val="28"/>
            </w:rPr>
            <w:instrText xml:space="preserve"> PAGEREF _Toc31424 \h </w:instrText>
          </w:r>
          <w:r>
            <w:rPr>
              <w:sz w:val="28"/>
              <w:szCs w:val="28"/>
            </w:rPr>
            <w:fldChar w:fldCharType="separate"/>
          </w:r>
          <w:r>
            <w:rPr>
              <w:sz w:val="28"/>
              <w:szCs w:val="28"/>
            </w:rPr>
            <w:t>7</w:t>
          </w:r>
          <w:r>
            <w:rPr>
              <w:sz w:val="28"/>
              <w:szCs w:val="28"/>
            </w:rPr>
            <w:fldChar w:fldCharType="end"/>
          </w:r>
          <w:r>
            <w:rPr>
              <w:sz w:val="28"/>
              <w:szCs w:val="28"/>
            </w:rPr>
            <w:fldChar w:fldCharType="end"/>
          </w:r>
        </w:p>
        <w:p w14:paraId="3D871F06">
          <w:pPr>
            <w:pStyle w:val="10"/>
            <w:tabs>
              <w:tab w:val="right" w:leader="dot" w:pos="8306"/>
            </w:tabs>
            <w:rPr>
              <w:sz w:val="28"/>
              <w:szCs w:val="28"/>
            </w:rPr>
          </w:pPr>
          <w:r>
            <w:rPr>
              <w:sz w:val="28"/>
              <w:szCs w:val="28"/>
            </w:rPr>
            <w:fldChar w:fldCharType="begin"/>
          </w:r>
          <w:r>
            <w:rPr>
              <w:sz w:val="28"/>
              <w:szCs w:val="28"/>
            </w:rPr>
            <w:instrText xml:space="preserve"> HYPERLINK \l _Toc13017 </w:instrText>
          </w:r>
          <w:r>
            <w:rPr>
              <w:sz w:val="28"/>
              <w:szCs w:val="28"/>
            </w:rPr>
            <w:fldChar w:fldCharType="separate"/>
          </w:r>
          <w:r>
            <w:rPr>
              <w:rFonts w:hint="eastAsia" w:ascii="宋体" w:hAnsi="宋体"/>
              <w:sz w:val="28"/>
              <w:szCs w:val="28"/>
            </w:rPr>
            <w:t>（四）评价指标体系、评价方法、评价标准</w:t>
          </w:r>
          <w:r>
            <w:rPr>
              <w:sz w:val="28"/>
              <w:szCs w:val="28"/>
            </w:rPr>
            <w:tab/>
          </w:r>
          <w:r>
            <w:rPr>
              <w:sz w:val="28"/>
              <w:szCs w:val="28"/>
            </w:rPr>
            <w:fldChar w:fldCharType="begin"/>
          </w:r>
          <w:r>
            <w:rPr>
              <w:sz w:val="28"/>
              <w:szCs w:val="28"/>
            </w:rPr>
            <w:instrText xml:space="preserve"> PAGEREF _Toc13017 \h </w:instrText>
          </w:r>
          <w:r>
            <w:rPr>
              <w:sz w:val="28"/>
              <w:szCs w:val="28"/>
            </w:rPr>
            <w:fldChar w:fldCharType="separate"/>
          </w:r>
          <w:r>
            <w:rPr>
              <w:sz w:val="28"/>
              <w:szCs w:val="28"/>
            </w:rPr>
            <w:t>7</w:t>
          </w:r>
          <w:r>
            <w:rPr>
              <w:sz w:val="28"/>
              <w:szCs w:val="28"/>
            </w:rPr>
            <w:fldChar w:fldCharType="end"/>
          </w:r>
          <w:r>
            <w:rPr>
              <w:sz w:val="28"/>
              <w:szCs w:val="28"/>
            </w:rPr>
            <w:fldChar w:fldCharType="end"/>
          </w:r>
        </w:p>
        <w:p w14:paraId="5D469B05">
          <w:pPr>
            <w:pStyle w:val="10"/>
            <w:tabs>
              <w:tab w:val="right" w:leader="dot" w:pos="8306"/>
            </w:tabs>
            <w:rPr>
              <w:sz w:val="28"/>
              <w:szCs w:val="28"/>
            </w:rPr>
          </w:pPr>
          <w:r>
            <w:rPr>
              <w:sz w:val="28"/>
              <w:szCs w:val="28"/>
            </w:rPr>
            <w:fldChar w:fldCharType="begin"/>
          </w:r>
          <w:r>
            <w:rPr>
              <w:sz w:val="28"/>
              <w:szCs w:val="28"/>
            </w:rPr>
            <w:instrText xml:space="preserve"> HYPERLINK \l _Toc30614 </w:instrText>
          </w:r>
          <w:r>
            <w:rPr>
              <w:sz w:val="28"/>
              <w:szCs w:val="28"/>
            </w:rPr>
            <w:fldChar w:fldCharType="separate"/>
          </w:r>
          <w:r>
            <w:rPr>
              <w:rFonts w:hint="eastAsia" w:ascii="宋体" w:hAnsi="宋体"/>
              <w:sz w:val="28"/>
              <w:szCs w:val="28"/>
            </w:rPr>
            <w:t>（五）绩效评价工作过程</w:t>
          </w:r>
          <w:r>
            <w:rPr>
              <w:sz w:val="28"/>
              <w:szCs w:val="28"/>
            </w:rPr>
            <w:tab/>
          </w:r>
          <w:r>
            <w:rPr>
              <w:sz w:val="28"/>
              <w:szCs w:val="28"/>
            </w:rPr>
            <w:fldChar w:fldCharType="begin"/>
          </w:r>
          <w:r>
            <w:rPr>
              <w:sz w:val="28"/>
              <w:szCs w:val="28"/>
            </w:rPr>
            <w:instrText xml:space="preserve"> PAGEREF _Toc30614 \h </w:instrText>
          </w:r>
          <w:r>
            <w:rPr>
              <w:sz w:val="28"/>
              <w:szCs w:val="28"/>
            </w:rPr>
            <w:fldChar w:fldCharType="separate"/>
          </w:r>
          <w:r>
            <w:rPr>
              <w:sz w:val="28"/>
              <w:szCs w:val="28"/>
            </w:rPr>
            <w:t>9</w:t>
          </w:r>
          <w:r>
            <w:rPr>
              <w:sz w:val="28"/>
              <w:szCs w:val="28"/>
            </w:rPr>
            <w:fldChar w:fldCharType="end"/>
          </w:r>
          <w:r>
            <w:rPr>
              <w:sz w:val="28"/>
              <w:szCs w:val="28"/>
            </w:rPr>
            <w:fldChar w:fldCharType="end"/>
          </w:r>
        </w:p>
        <w:p w14:paraId="247439EE">
          <w:pPr>
            <w:pStyle w:val="9"/>
            <w:tabs>
              <w:tab w:val="right" w:leader="dot" w:pos="8306"/>
            </w:tabs>
            <w:rPr>
              <w:sz w:val="28"/>
              <w:szCs w:val="28"/>
            </w:rPr>
          </w:pPr>
          <w:r>
            <w:rPr>
              <w:sz w:val="28"/>
              <w:szCs w:val="28"/>
            </w:rPr>
            <w:fldChar w:fldCharType="begin"/>
          </w:r>
          <w:r>
            <w:rPr>
              <w:sz w:val="28"/>
              <w:szCs w:val="28"/>
            </w:rPr>
            <w:instrText xml:space="preserve"> HYPERLINK \l _Toc25332 </w:instrText>
          </w:r>
          <w:r>
            <w:rPr>
              <w:sz w:val="28"/>
              <w:szCs w:val="28"/>
            </w:rPr>
            <w:fldChar w:fldCharType="separate"/>
          </w:r>
          <w:r>
            <w:rPr>
              <w:rFonts w:hint="eastAsia" w:ascii="宋体" w:hAnsi="宋体"/>
              <w:sz w:val="28"/>
              <w:szCs w:val="28"/>
            </w:rPr>
            <w:t>三、综合评价情况及评价结论</w:t>
          </w:r>
          <w:r>
            <w:rPr>
              <w:sz w:val="28"/>
              <w:szCs w:val="28"/>
            </w:rPr>
            <w:tab/>
          </w:r>
          <w:r>
            <w:rPr>
              <w:sz w:val="28"/>
              <w:szCs w:val="28"/>
            </w:rPr>
            <w:fldChar w:fldCharType="begin"/>
          </w:r>
          <w:r>
            <w:rPr>
              <w:sz w:val="28"/>
              <w:szCs w:val="28"/>
            </w:rPr>
            <w:instrText xml:space="preserve"> PAGEREF _Toc25332 \h </w:instrText>
          </w:r>
          <w:r>
            <w:rPr>
              <w:sz w:val="28"/>
              <w:szCs w:val="28"/>
            </w:rPr>
            <w:fldChar w:fldCharType="separate"/>
          </w:r>
          <w:r>
            <w:rPr>
              <w:sz w:val="28"/>
              <w:szCs w:val="28"/>
            </w:rPr>
            <w:t>10</w:t>
          </w:r>
          <w:r>
            <w:rPr>
              <w:sz w:val="28"/>
              <w:szCs w:val="28"/>
            </w:rPr>
            <w:fldChar w:fldCharType="end"/>
          </w:r>
          <w:r>
            <w:rPr>
              <w:sz w:val="28"/>
              <w:szCs w:val="28"/>
            </w:rPr>
            <w:fldChar w:fldCharType="end"/>
          </w:r>
        </w:p>
        <w:p w14:paraId="569E38FE">
          <w:pPr>
            <w:pStyle w:val="9"/>
            <w:tabs>
              <w:tab w:val="right" w:leader="dot" w:pos="8306"/>
            </w:tabs>
            <w:rPr>
              <w:sz w:val="28"/>
              <w:szCs w:val="28"/>
            </w:rPr>
          </w:pPr>
          <w:r>
            <w:rPr>
              <w:sz w:val="28"/>
              <w:szCs w:val="28"/>
            </w:rPr>
            <w:fldChar w:fldCharType="begin"/>
          </w:r>
          <w:r>
            <w:rPr>
              <w:sz w:val="28"/>
              <w:szCs w:val="28"/>
            </w:rPr>
            <w:instrText xml:space="preserve"> HYPERLINK \l _Toc12806 </w:instrText>
          </w:r>
          <w:r>
            <w:rPr>
              <w:sz w:val="28"/>
              <w:szCs w:val="28"/>
            </w:rPr>
            <w:fldChar w:fldCharType="separate"/>
          </w:r>
          <w:r>
            <w:rPr>
              <w:rFonts w:hint="eastAsia" w:ascii="宋体" w:hAnsi="宋体"/>
              <w:sz w:val="28"/>
              <w:szCs w:val="28"/>
            </w:rPr>
            <w:t>四、绩效评价指标分析</w:t>
          </w:r>
          <w:r>
            <w:rPr>
              <w:sz w:val="28"/>
              <w:szCs w:val="28"/>
            </w:rPr>
            <w:tab/>
          </w:r>
          <w:r>
            <w:rPr>
              <w:sz w:val="28"/>
              <w:szCs w:val="28"/>
            </w:rPr>
            <w:fldChar w:fldCharType="begin"/>
          </w:r>
          <w:r>
            <w:rPr>
              <w:sz w:val="28"/>
              <w:szCs w:val="28"/>
            </w:rPr>
            <w:instrText xml:space="preserve"> PAGEREF _Toc12806 \h </w:instrText>
          </w:r>
          <w:r>
            <w:rPr>
              <w:sz w:val="28"/>
              <w:szCs w:val="28"/>
            </w:rPr>
            <w:fldChar w:fldCharType="separate"/>
          </w:r>
          <w:r>
            <w:rPr>
              <w:sz w:val="28"/>
              <w:szCs w:val="28"/>
            </w:rPr>
            <w:t>11</w:t>
          </w:r>
          <w:r>
            <w:rPr>
              <w:sz w:val="28"/>
              <w:szCs w:val="28"/>
            </w:rPr>
            <w:fldChar w:fldCharType="end"/>
          </w:r>
          <w:r>
            <w:rPr>
              <w:sz w:val="28"/>
              <w:szCs w:val="28"/>
            </w:rPr>
            <w:fldChar w:fldCharType="end"/>
          </w:r>
        </w:p>
        <w:p w14:paraId="6D4464F2">
          <w:pPr>
            <w:pStyle w:val="10"/>
            <w:tabs>
              <w:tab w:val="right" w:leader="dot" w:pos="8306"/>
            </w:tabs>
            <w:rPr>
              <w:sz w:val="28"/>
              <w:szCs w:val="28"/>
            </w:rPr>
          </w:pPr>
          <w:r>
            <w:rPr>
              <w:sz w:val="28"/>
              <w:szCs w:val="28"/>
            </w:rPr>
            <w:fldChar w:fldCharType="begin"/>
          </w:r>
          <w:r>
            <w:rPr>
              <w:sz w:val="28"/>
              <w:szCs w:val="28"/>
            </w:rPr>
            <w:instrText xml:space="preserve"> HYPERLINK \l _Toc6012 </w:instrText>
          </w:r>
          <w:r>
            <w:rPr>
              <w:sz w:val="28"/>
              <w:szCs w:val="28"/>
            </w:rPr>
            <w:fldChar w:fldCharType="separate"/>
          </w:r>
          <w:r>
            <w:rPr>
              <w:rFonts w:hint="eastAsia" w:ascii="宋体" w:hAnsi="宋体"/>
              <w:sz w:val="28"/>
              <w:szCs w:val="28"/>
            </w:rPr>
            <w:t>（一）决策情况分析</w:t>
          </w:r>
          <w:r>
            <w:rPr>
              <w:sz w:val="28"/>
              <w:szCs w:val="28"/>
            </w:rPr>
            <w:tab/>
          </w:r>
          <w:r>
            <w:rPr>
              <w:sz w:val="28"/>
              <w:szCs w:val="28"/>
            </w:rPr>
            <w:fldChar w:fldCharType="begin"/>
          </w:r>
          <w:r>
            <w:rPr>
              <w:sz w:val="28"/>
              <w:szCs w:val="28"/>
            </w:rPr>
            <w:instrText xml:space="preserve"> PAGEREF _Toc6012 \h </w:instrText>
          </w:r>
          <w:r>
            <w:rPr>
              <w:sz w:val="28"/>
              <w:szCs w:val="28"/>
            </w:rPr>
            <w:fldChar w:fldCharType="separate"/>
          </w:r>
          <w:r>
            <w:rPr>
              <w:sz w:val="28"/>
              <w:szCs w:val="28"/>
            </w:rPr>
            <w:t>11</w:t>
          </w:r>
          <w:r>
            <w:rPr>
              <w:sz w:val="28"/>
              <w:szCs w:val="28"/>
            </w:rPr>
            <w:fldChar w:fldCharType="end"/>
          </w:r>
          <w:r>
            <w:rPr>
              <w:sz w:val="28"/>
              <w:szCs w:val="28"/>
            </w:rPr>
            <w:fldChar w:fldCharType="end"/>
          </w:r>
        </w:p>
        <w:p w14:paraId="7F4A677B">
          <w:pPr>
            <w:pStyle w:val="10"/>
            <w:tabs>
              <w:tab w:val="right" w:leader="dot" w:pos="8306"/>
            </w:tabs>
            <w:rPr>
              <w:sz w:val="28"/>
              <w:szCs w:val="28"/>
            </w:rPr>
          </w:pPr>
          <w:r>
            <w:rPr>
              <w:sz w:val="28"/>
              <w:szCs w:val="28"/>
            </w:rPr>
            <w:fldChar w:fldCharType="begin"/>
          </w:r>
          <w:r>
            <w:rPr>
              <w:sz w:val="28"/>
              <w:szCs w:val="28"/>
            </w:rPr>
            <w:instrText xml:space="preserve"> HYPERLINK \l _Toc7300 </w:instrText>
          </w:r>
          <w:r>
            <w:rPr>
              <w:sz w:val="28"/>
              <w:szCs w:val="28"/>
            </w:rPr>
            <w:fldChar w:fldCharType="separate"/>
          </w:r>
          <w:r>
            <w:rPr>
              <w:rFonts w:hint="eastAsia" w:ascii="宋体" w:hAnsi="宋体"/>
              <w:sz w:val="28"/>
              <w:szCs w:val="28"/>
              <w:highlight w:val="none"/>
            </w:rPr>
            <w:t>（二）管理情况分析</w:t>
          </w:r>
          <w:r>
            <w:rPr>
              <w:sz w:val="28"/>
              <w:szCs w:val="28"/>
            </w:rPr>
            <w:tab/>
          </w:r>
          <w:r>
            <w:rPr>
              <w:sz w:val="28"/>
              <w:szCs w:val="28"/>
            </w:rPr>
            <w:fldChar w:fldCharType="begin"/>
          </w:r>
          <w:r>
            <w:rPr>
              <w:sz w:val="28"/>
              <w:szCs w:val="28"/>
            </w:rPr>
            <w:instrText xml:space="preserve"> PAGEREF _Toc7300 \h </w:instrText>
          </w:r>
          <w:r>
            <w:rPr>
              <w:sz w:val="28"/>
              <w:szCs w:val="28"/>
            </w:rPr>
            <w:fldChar w:fldCharType="separate"/>
          </w:r>
          <w:r>
            <w:rPr>
              <w:sz w:val="28"/>
              <w:szCs w:val="28"/>
            </w:rPr>
            <w:t>13</w:t>
          </w:r>
          <w:r>
            <w:rPr>
              <w:sz w:val="28"/>
              <w:szCs w:val="28"/>
            </w:rPr>
            <w:fldChar w:fldCharType="end"/>
          </w:r>
          <w:r>
            <w:rPr>
              <w:sz w:val="28"/>
              <w:szCs w:val="28"/>
            </w:rPr>
            <w:fldChar w:fldCharType="end"/>
          </w:r>
        </w:p>
        <w:p w14:paraId="1094C871">
          <w:pPr>
            <w:pStyle w:val="10"/>
            <w:tabs>
              <w:tab w:val="right" w:leader="dot" w:pos="8306"/>
            </w:tabs>
            <w:rPr>
              <w:sz w:val="28"/>
              <w:szCs w:val="28"/>
            </w:rPr>
          </w:pPr>
          <w:r>
            <w:rPr>
              <w:sz w:val="28"/>
              <w:szCs w:val="28"/>
            </w:rPr>
            <w:fldChar w:fldCharType="begin"/>
          </w:r>
          <w:r>
            <w:rPr>
              <w:sz w:val="28"/>
              <w:szCs w:val="28"/>
            </w:rPr>
            <w:instrText xml:space="preserve"> HYPERLINK \l _Toc9438 </w:instrText>
          </w:r>
          <w:r>
            <w:rPr>
              <w:sz w:val="28"/>
              <w:szCs w:val="28"/>
            </w:rPr>
            <w:fldChar w:fldCharType="separate"/>
          </w:r>
          <w:r>
            <w:rPr>
              <w:rFonts w:hint="eastAsia" w:ascii="宋体" w:hAnsi="宋体"/>
              <w:sz w:val="28"/>
              <w:szCs w:val="28"/>
              <w:highlight w:val="none"/>
            </w:rPr>
            <w:t>（三）产出情况分析</w:t>
          </w:r>
          <w:r>
            <w:rPr>
              <w:sz w:val="28"/>
              <w:szCs w:val="28"/>
            </w:rPr>
            <w:tab/>
          </w:r>
          <w:r>
            <w:rPr>
              <w:sz w:val="28"/>
              <w:szCs w:val="28"/>
            </w:rPr>
            <w:fldChar w:fldCharType="begin"/>
          </w:r>
          <w:r>
            <w:rPr>
              <w:sz w:val="28"/>
              <w:szCs w:val="28"/>
            </w:rPr>
            <w:instrText xml:space="preserve"> PAGEREF _Toc9438 \h </w:instrText>
          </w:r>
          <w:r>
            <w:rPr>
              <w:sz w:val="28"/>
              <w:szCs w:val="28"/>
            </w:rPr>
            <w:fldChar w:fldCharType="separate"/>
          </w:r>
          <w:r>
            <w:rPr>
              <w:sz w:val="28"/>
              <w:szCs w:val="28"/>
            </w:rPr>
            <w:t>15</w:t>
          </w:r>
          <w:r>
            <w:rPr>
              <w:sz w:val="28"/>
              <w:szCs w:val="28"/>
            </w:rPr>
            <w:fldChar w:fldCharType="end"/>
          </w:r>
          <w:r>
            <w:rPr>
              <w:sz w:val="28"/>
              <w:szCs w:val="28"/>
            </w:rPr>
            <w:fldChar w:fldCharType="end"/>
          </w:r>
        </w:p>
        <w:p w14:paraId="07BFF49D">
          <w:pPr>
            <w:pStyle w:val="10"/>
            <w:tabs>
              <w:tab w:val="right" w:leader="dot" w:pos="8306"/>
            </w:tabs>
            <w:rPr>
              <w:sz w:val="28"/>
              <w:szCs w:val="28"/>
            </w:rPr>
          </w:pPr>
          <w:r>
            <w:rPr>
              <w:sz w:val="28"/>
              <w:szCs w:val="28"/>
            </w:rPr>
            <w:fldChar w:fldCharType="begin"/>
          </w:r>
          <w:r>
            <w:rPr>
              <w:sz w:val="28"/>
              <w:szCs w:val="28"/>
            </w:rPr>
            <w:instrText xml:space="preserve"> HYPERLINK \l _Toc24172 </w:instrText>
          </w:r>
          <w:r>
            <w:rPr>
              <w:sz w:val="28"/>
              <w:szCs w:val="28"/>
            </w:rPr>
            <w:fldChar w:fldCharType="separate"/>
          </w:r>
          <w:r>
            <w:rPr>
              <w:rFonts w:hint="eastAsia" w:ascii="宋体" w:hAnsi="宋体"/>
              <w:sz w:val="28"/>
              <w:szCs w:val="28"/>
            </w:rPr>
            <w:t>（四）效益情况分析</w:t>
          </w:r>
          <w:r>
            <w:rPr>
              <w:sz w:val="28"/>
              <w:szCs w:val="28"/>
            </w:rPr>
            <w:tab/>
          </w:r>
          <w:r>
            <w:rPr>
              <w:sz w:val="28"/>
              <w:szCs w:val="28"/>
            </w:rPr>
            <w:fldChar w:fldCharType="begin"/>
          </w:r>
          <w:r>
            <w:rPr>
              <w:sz w:val="28"/>
              <w:szCs w:val="28"/>
            </w:rPr>
            <w:instrText xml:space="preserve"> PAGEREF _Toc24172 \h </w:instrText>
          </w:r>
          <w:r>
            <w:rPr>
              <w:sz w:val="28"/>
              <w:szCs w:val="28"/>
            </w:rPr>
            <w:fldChar w:fldCharType="separate"/>
          </w:r>
          <w:r>
            <w:rPr>
              <w:sz w:val="28"/>
              <w:szCs w:val="28"/>
            </w:rPr>
            <w:t>16</w:t>
          </w:r>
          <w:r>
            <w:rPr>
              <w:sz w:val="28"/>
              <w:szCs w:val="28"/>
            </w:rPr>
            <w:fldChar w:fldCharType="end"/>
          </w:r>
          <w:r>
            <w:rPr>
              <w:sz w:val="28"/>
              <w:szCs w:val="28"/>
            </w:rPr>
            <w:fldChar w:fldCharType="end"/>
          </w:r>
        </w:p>
        <w:p w14:paraId="49A90872">
          <w:pPr>
            <w:pStyle w:val="9"/>
            <w:tabs>
              <w:tab w:val="right" w:leader="dot" w:pos="8306"/>
            </w:tabs>
            <w:rPr>
              <w:sz w:val="28"/>
              <w:szCs w:val="28"/>
            </w:rPr>
          </w:pPr>
          <w:r>
            <w:rPr>
              <w:sz w:val="28"/>
              <w:szCs w:val="28"/>
            </w:rPr>
            <w:fldChar w:fldCharType="begin"/>
          </w:r>
          <w:r>
            <w:rPr>
              <w:sz w:val="28"/>
              <w:szCs w:val="28"/>
            </w:rPr>
            <w:instrText xml:space="preserve"> HYPERLINK \l _Toc12064 </w:instrText>
          </w:r>
          <w:r>
            <w:rPr>
              <w:sz w:val="28"/>
              <w:szCs w:val="28"/>
            </w:rPr>
            <w:fldChar w:fldCharType="separate"/>
          </w:r>
          <w:r>
            <w:rPr>
              <w:rFonts w:hint="eastAsia" w:ascii="宋体" w:hAnsi="宋体"/>
              <w:sz w:val="28"/>
              <w:szCs w:val="28"/>
            </w:rPr>
            <w:t>五、 存在的问题及原因分析</w:t>
          </w:r>
          <w:r>
            <w:rPr>
              <w:sz w:val="28"/>
              <w:szCs w:val="28"/>
            </w:rPr>
            <w:tab/>
          </w:r>
          <w:r>
            <w:rPr>
              <w:sz w:val="28"/>
              <w:szCs w:val="28"/>
            </w:rPr>
            <w:fldChar w:fldCharType="begin"/>
          </w:r>
          <w:r>
            <w:rPr>
              <w:sz w:val="28"/>
              <w:szCs w:val="28"/>
            </w:rPr>
            <w:instrText xml:space="preserve"> PAGEREF _Toc12064 \h </w:instrText>
          </w:r>
          <w:r>
            <w:rPr>
              <w:sz w:val="28"/>
              <w:szCs w:val="28"/>
            </w:rPr>
            <w:fldChar w:fldCharType="separate"/>
          </w:r>
          <w:r>
            <w:rPr>
              <w:sz w:val="28"/>
              <w:szCs w:val="28"/>
            </w:rPr>
            <w:t>18</w:t>
          </w:r>
          <w:r>
            <w:rPr>
              <w:sz w:val="28"/>
              <w:szCs w:val="28"/>
            </w:rPr>
            <w:fldChar w:fldCharType="end"/>
          </w:r>
          <w:r>
            <w:rPr>
              <w:sz w:val="28"/>
              <w:szCs w:val="28"/>
            </w:rPr>
            <w:fldChar w:fldCharType="end"/>
          </w:r>
        </w:p>
        <w:p w14:paraId="6983B526">
          <w:pPr>
            <w:pStyle w:val="10"/>
            <w:tabs>
              <w:tab w:val="right" w:leader="dot" w:pos="8306"/>
            </w:tabs>
            <w:ind w:left="0" w:leftChars="0" w:firstLine="560" w:firstLineChars="200"/>
            <w:rPr>
              <w:sz w:val="28"/>
              <w:szCs w:val="28"/>
            </w:rPr>
          </w:pPr>
          <w:r>
            <w:rPr>
              <w:sz w:val="28"/>
              <w:szCs w:val="28"/>
            </w:rPr>
            <w:fldChar w:fldCharType="begin"/>
          </w:r>
          <w:r>
            <w:rPr>
              <w:sz w:val="28"/>
              <w:szCs w:val="28"/>
            </w:rPr>
            <w:instrText xml:space="preserve"> HYPERLINK \l _Toc12064 </w:instrText>
          </w:r>
          <w:r>
            <w:rPr>
              <w:sz w:val="28"/>
              <w:szCs w:val="28"/>
            </w:rPr>
            <w:fldChar w:fldCharType="separate"/>
          </w:r>
          <w:r>
            <w:rPr>
              <w:rFonts w:hint="eastAsia" w:ascii="宋体" w:hAnsi="宋体"/>
              <w:sz w:val="28"/>
              <w:szCs w:val="28"/>
              <w:lang w:val="en-US" w:eastAsia="zh-CN"/>
            </w:rPr>
            <w:t>六</w:t>
          </w:r>
          <w:r>
            <w:rPr>
              <w:rFonts w:hint="eastAsia" w:ascii="宋体" w:hAnsi="宋体"/>
              <w:sz w:val="28"/>
              <w:szCs w:val="28"/>
            </w:rPr>
            <w:t xml:space="preserve">、 </w:t>
          </w:r>
          <w:r>
            <w:rPr>
              <w:rFonts w:hint="eastAsia" w:ascii="宋体" w:hAnsi="宋体"/>
              <w:sz w:val="28"/>
              <w:szCs w:val="28"/>
              <w:lang w:val="en-US" w:eastAsia="zh-CN"/>
            </w:rPr>
            <w:t>有关问题的建议</w:t>
          </w:r>
          <w:r>
            <w:rPr>
              <w:sz w:val="28"/>
              <w:szCs w:val="28"/>
            </w:rPr>
            <w:tab/>
          </w:r>
          <w:r>
            <w:rPr>
              <w:sz w:val="28"/>
              <w:szCs w:val="28"/>
            </w:rPr>
            <w:fldChar w:fldCharType="begin"/>
          </w:r>
          <w:r>
            <w:rPr>
              <w:sz w:val="28"/>
              <w:szCs w:val="28"/>
            </w:rPr>
            <w:instrText xml:space="preserve"> PAGEREF _Toc12064 \h </w:instrText>
          </w:r>
          <w:r>
            <w:rPr>
              <w:sz w:val="28"/>
              <w:szCs w:val="28"/>
            </w:rPr>
            <w:fldChar w:fldCharType="separate"/>
          </w:r>
          <w:r>
            <w:rPr>
              <w:sz w:val="28"/>
              <w:szCs w:val="28"/>
            </w:rPr>
            <w:t>18</w:t>
          </w:r>
          <w:r>
            <w:rPr>
              <w:sz w:val="28"/>
              <w:szCs w:val="28"/>
            </w:rPr>
            <w:fldChar w:fldCharType="end"/>
          </w:r>
          <w:r>
            <w:rPr>
              <w:sz w:val="28"/>
              <w:szCs w:val="28"/>
            </w:rPr>
            <w:fldChar w:fldCharType="end"/>
          </w:r>
        </w:p>
        <w:p w14:paraId="3543F0C2">
          <w:pPr>
            <w:pStyle w:val="9"/>
            <w:tabs>
              <w:tab w:val="right" w:leader="dot" w:pos="8306"/>
            </w:tabs>
            <w:rPr>
              <w:sz w:val="28"/>
              <w:szCs w:val="28"/>
            </w:rPr>
          </w:pPr>
          <w:r>
            <w:rPr>
              <w:sz w:val="28"/>
              <w:szCs w:val="28"/>
            </w:rPr>
            <w:fldChar w:fldCharType="begin"/>
          </w:r>
          <w:r>
            <w:rPr>
              <w:sz w:val="28"/>
              <w:szCs w:val="28"/>
            </w:rPr>
            <w:instrText xml:space="preserve"> HYPERLINK \l _Toc20356 </w:instrText>
          </w:r>
          <w:r>
            <w:rPr>
              <w:sz w:val="28"/>
              <w:szCs w:val="28"/>
            </w:rPr>
            <w:fldChar w:fldCharType="separate"/>
          </w:r>
          <w:r>
            <w:rPr>
              <w:rFonts w:hint="eastAsia" w:ascii="宋体" w:hAnsi="宋体"/>
              <w:sz w:val="28"/>
              <w:szCs w:val="28"/>
            </w:rPr>
            <w:t>七、其他需要说明的问题</w:t>
          </w:r>
          <w:r>
            <w:rPr>
              <w:sz w:val="28"/>
              <w:szCs w:val="28"/>
            </w:rPr>
            <w:tab/>
          </w:r>
          <w:r>
            <w:rPr>
              <w:sz w:val="28"/>
              <w:szCs w:val="28"/>
            </w:rPr>
            <w:fldChar w:fldCharType="begin"/>
          </w:r>
          <w:r>
            <w:rPr>
              <w:sz w:val="28"/>
              <w:szCs w:val="28"/>
            </w:rPr>
            <w:instrText xml:space="preserve"> PAGEREF _Toc20356 \h </w:instrText>
          </w:r>
          <w:r>
            <w:rPr>
              <w:sz w:val="28"/>
              <w:szCs w:val="28"/>
            </w:rPr>
            <w:fldChar w:fldCharType="separate"/>
          </w:r>
          <w:r>
            <w:rPr>
              <w:sz w:val="28"/>
              <w:szCs w:val="28"/>
            </w:rPr>
            <w:t>19</w:t>
          </w:r>
          <w:r>
            <w:rPr>
              <w:sz w:val="28"/>
              <w:szCs w:val="28"/>
            </w:rPr>
            <w:fldChar w:fldCharType="end"/>
          </w:r>
          <w:r>
            <w:rPr>
              <w:sz w:val="28"/>
              <w:szCs w:val="28"/>
            </w:rPr>
            <w:fldChar w:fldCharType="end"/>
          </w:r>
        </w:p>
        <w:p w14:paraId="6E134255">
          <w:pPr>
            <w:sectPr>
              <w:footerReference r:id="rId7" w:type="default"/>
              <w:pgSz w:w="11906" w:h="16839"/>
              <w:pgMar w:top="1440" w:right="1800" w:bottom="1440" w:left="1800" w:header="0" w:footer="1059" w:gutter="0"/>
              <w:pgNumType w:fmt="decimal" w:start="1"/>
              <w:cols w:space="720" w:num="1"/>
            </w:sectPr>
          </w:pPr>
          <w:r>
            <w:rPr>
              <w:sz w:val="28"/>
              <w:szCs w:val="28"/>
            </w:rPr>
            <w:fldChar w:fldCharType="end"/>
          </w:r>
        </w:p>
      </w:sdtContent>
    </w:sdt>
    <w:p w14:paraId="6337DB14"/>
    <w:p w14:paraId="7F7CEDC7">
      <w:pPr>
        <w:spacing w:beforeLines="150"/>
        <w:jc w:val="center"/>
        <w:rPr>
          <w:rFonts w:ascii="宋体" w:hAnsi="宋体" w:eastAsia="方正小标宋简体" w:cs="方正小标宋简体"/>
          <w:b/>
          <w:bCs/>
          <w:sz w:val="36"/>
          <w:szCs w:val="36"/>
        </w:rPr>
      </w:pPr>
      <w:r>
        <w:rPr>
          <w:rFonts w:hint="eastAsia" w:ascii="宋体" w:hAnsi="宋体" w:eastAsia="方正小标宋简体" w:cs="方正小标宋简体"/>
          <w:b/>
          <w:bCs/>
          <w:sz w:val="36"/>
          <w:szCs w:val="36"/>
        </w:rPr>
        <w:t>长春市宽城区卫生综合体建设项目</w:t>
      </w:r>
    </w:p>
    <w:p w14:paraId="03938CE3">
      <w:pPr>
        <w:spacing w:line="240" w:lineRule="auto"/>
        <w:jc w:val="center"/>
        <w:rPr>
          <w:rFonts w:ascii="宋体" w:hAnsi="宋体" w:eastAsia="方正小标宋简体" w:cs="方正小标宋简体"/>
          <w:b/>
          <w:bCs/>
          <w:sz w:val="36"/>
          <w:szCs w:val="36"/>
        </w:rPr>
      </w:pPr>
      <w:r>
        <w:rPr>
          <w:rFonts w:hint="eastAsia" w:ascii="宋体" w:hAnsi="宋体" w:eastAsia="方正小标宋简体" w:cs="方正小标宋简体"/>
          <w:b/>
          <w:bCs/>
          <w:sz w:val="36"/>
          <w:szCs w:val="36"/>
          <w:lang w:val="en-US" w:eastAsia="zh-CN"/>
        </w:rPr>
        <w:t>2025年度</w:t>
      </w:r>
      <w:r>
        <w:rPr>
          <w:rFonts w:hint="eastAsia" w:ascii="宋体" w:hAnsi="宋体" w:eastAsia="方正小标宋简体" w:cs="方正小标宋简体"/>
          <w:b/>
          <w:bCs/>
          <w:sz w:val="36"/>
          <w:szCs w:val="36"/>
        </w:rPr>
        <w:t>绩效评价报告</w:t>
      </w:r>
    </w:p>
    <w:p w14:paraId="705B3385">
      <w:pPr>
        <w:pStyle w:val="11"/>
        <w:pageBreakBefore w:val="0"/>
        <w:widowControl w:val="0"/>
        <w:kinsoku/>
        <w:wordWrap/>
        <w:overflowPunct/>
        <w:topLinePunct w:val="0"/>
        <w:autoSpaceDE/>
        <w:autoSpaceDN/>
        <w:bidi w:val="0"/>
        <w:adjustRightInd/>
        <w:snapToGrid/>
        <w:spacing w:beforeAutospacing="0" w:afterAutospacing="0" w:line="600" w:lineRule="exact"/>
        <w:ind w:firstLine="612"/>
        <w:jc w:val="both"/>
        <w:textAlignment w:val="baseline"/>
        <w:rPr>
          <w:rFonts w:hint="eastAsia" w:ascii="宋体" w:hAnsi="宋体" w:cs="仿宋_GB2312"/>
          <w:color w:val="333333"/>
          <w:spacing w:val="6"/>
          <w:sz w:val="30"/>
          <w:szCs w:val="30"/>
          <w:shd w:val="clear" w:color="auto" w:fill="FFFFFF"/>
        </w:rPr>
      </w:pPr>
      <w:bookmarkStart w:id="8" w:name="_bookmark2"/>
      <w:bookmarkEnd w:id="8"/>
      <w:bookmarkStart w:id="9" w:name="_bookmark1"/>
      <w:bookmarkEnd w:id="9"/>
    </w:p>
    <w:p w14:paraId="3FA9063D">
      <w:pPr>
        <w:pStyle w:val="11"/>
        <w:pageBreakBefore w:val="0"/>
        <w:widowControl w:val="0"/>
        <w:kinsoku/>
        <w:wordWrap/>
        <w:overflowPunct/>
        <w:topLinePunct w:val="0"/>
        <w:autoSpaceDE/>
        <w:autoSpaceDN/>
        <w:bidi w:val="0"/>
        <w:adjustRightInd/>
        <w:snapToGrid/>
        <w:spacing w:beforeAutospacing="0" w:afterAutospacing="0" w:line="600" w:lineRule="exact"/>
        <w:ind w:firstLine="612"/>
        <w:jc w:val="both"/>
        <w:textAlignment w:val="baseline"/>
        <w:rPr>
          <w:rFonts w:hint="eastAsia"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highlight w:val="none"/>
          <w:shd w:val="clear" w:color="auto" w:fill="FFFFFF"/>
          <w:lang w:val="en-US" w:eastAsia="zh-CN"/>
        </w:rPr>
        <w:t>我们接受长春宽城经济开发区管理委员会（以下简称：开发区管委会）委托，对长春市宽城区卫生综合体建设项目（简称“本项目”）开展2025年度绩效评价。依</w:t>
      </w:r>
      <w:r>
        <w:rPr>
          <w:rFonts w:hint="eastAsia" w:ascii="宋体" w:hAnsi="宋体" w:cs="仿宋_GB2312"/>
          <w:color w:val="333333"/>
          <w:spacing w:val="6"/>
          <w:sz w:val="28"/>
          <w:szCs w:val="28"/>
          <w:highlight w:val="none"/>
          <w:shd w:val="clear" w:color="auto" w:fill="FFFFFF"/>
        </w:rPr>
        <w:t>据《中华人民共和国预算法》《中共中央国务院关于全面实施预算绩效管理的意见》（中发【2018】34号）、《地方政府专项债券项目资金绩效管理办法》（财预【2021】61号）、《吉林省地方政府专项债券项目绩效评价管理办法（试行）》（吉财债【2021】1044号）、《吉林省项目支出预算绩效目标管理办法》（吉财绩【2021】1333号）、《关于印发〈基本建设项目建设成本管理规定〉的通知》（财建【2016】504号）、《关于委托第三方机构参与预算绩效管理的指导意见》（财预【2021】6号）等文件要求，</w:t>
      </w:r>
      <w:r>
        <w:rPr>
          <w:rFonts w:hint="eastAsia" w:ascii="宋体" w:hAnsi="宋体" w:cs="仿宋_GB2312"/>
          <w:color w:val="333333"/>
          <w:spacing w:val="6"/>
          <w:sz w:val="28"/>
          <w:szCs w:val="28"/>
          <w:highlight w:val="none"/>
          <w:shd w:val="clear" w:color="auto" w:fill="FFFFFF"/>
          <w:lang w:val="en-US" w:eastAsia="zh-CN"/>
        </w:rPr>
        <w:t>我们</w:t>
      </w:r>
      <w:r>
        <w:rPr>
          <w:rFonts w:hint="eastAsia" w:ascii="宋体" w:hAnsi="宋体" w:cs="仿宋_GB2312"/>
          <w:color w:val="333333"/>
          <w:spacing w:val="6"/>
          <w:sz w:val="28"/>
          <w:szCs w:val="28"/>
          <w:highlight w:val="none"/>
          <w:shd w:val="clear" w:color="auto" w:fill="FFFFFF"/>
        </w:rPr>
        <w:t>评价采用定量和定性分析相结合的方法，实施了资料审阅、账务核实、现场查勘、询问、分析计算等必要的评价程序，从项目决策、管理、产出、效益等方面进行了综合评价。现将评价情况报告如下：</w:t>
      </w:r>
      <w:bookmarkStart w:id="10" w:name="_Toc26424"/>
    </w:p>
    <w:p w14:paraId="02B7AB9A">
      <w:pPr>
        <w:pStyle w:val="11"/>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560" w:firstLineChars="200"/>
        <w:jc w:val="both"/>
        <w:textAlignment w:val="baseline"/>
        <w:rPr>
          <w:rFonts w:hint="eastAsia" w:ascii="黑体" w:hAnsi="黑体" w:eastAsia="黑体" w:cs="黑体"/>
          <w:sz w:val="28"/>
          <w:szCs w:val="28"/>
        </w:rPr>
      </w:pPr>
      <w:r>
        <w:rPr>
          <w:rFonts w:hint="eastAsia" w:ascii="黑体" w:hAnsi="黑体" w:eastAsia="黑体" w:cs="黑体"/>
          <w:snapToGrid w:val="0"/>
          <w:color w:val="000000"/>
          <w:sz w:val="28"/>
          <w:szCs w:val="28"/>
          <w:lang w:val="en-US" w:eastAsia="zh-CN" w:bidi="ar-SA"/>
        </w:rPr>
        <w:t>一、</w:t>
      </w:r>
      <w:r>
        <w:rPr>
          <w:rFonts w:hint="eastAsia" w:ascii="黑体" w:hAnsi="黑体" w:eastAsia="黑体" w:cs="黑体"/>
          <w:sz w:val="28"/>
          <w:szCs w:val="28"/>
        </w:rPr>
        <w:t>项目概况</w:t>
      </w:r>
      <w:bookmarkEnd w:id="10"/>
      <w:bookmarkStart w:id="11" w:name="_Toc491"/>
    </w:p>
    <w:p w14:paraId="37917933">
      <w:pPr>
        <w:pStyle w:val="11"/>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560" w:firstLineChars="200"/>
        <w:jc w:val="both"/>
        <w:textAlignment w:val="baseline"/>
        <w:rPr>
          <w:rFonts w:hint="eastAsia" w:ascii="楷体" w:hAnsi="楷体" w:eastAsia="楷体" w:cs="楷体"/>
          <w:sz w:val="28"/>
          <w:szCs w:val="28"/>
        </w:rPr>
      </w:pPr>
      <w:r>
        <w:rPr>
          <w:rFonts w:hint="eastAsia" w:ascii="楷体" w:hAnsi="楷体" w:eastAsia="楷体" w:cs="楷体"/>
          <w:sz w:val="28"/>
          <w:szCs w:val="28"/>
        </w:rPr>
        <w:t>（一）项目立项的背景和目标</w:t>
      </w:r>
      <w:bookmarkEnd w:id="11"/>
    </w:p>
    <w:p w14:paraId="16392290">
      <w:pPr>
        <w:pStyle w:val="4"/>
        <w:pageBreakBefore w:val="0"/>
        <w:wordWrap/>
        <w:overflowPunct/>
        <w:topLinePunct w:val="0"/>
        <w:bidi w:val="0"/>
        <w:spacing w:line="600" w:lineRule="exact"/>
        <w:ind w:firstLine="600"/>
        <w:textAlignment w:val="baseline"/>
        <w:rPr>
          <w:rFonts w:ascii="宋体" w:hAnsi="宋体"/>
          <w:sz w:val="28"/>
          <w:szCs w:val="28"/>
        </w:rPr>
      </w:pPr>
      <w:bookmarkStart w:id="12" w:name="_Toc20436"/>
      <w:bookmarkStart w:id="13" w:name="_Toc24168"/>
      <w:bookmarkStart w:id="14" w:name="_Toc16910"/>
      <w:r>
        <w:rPr>
          <w:rFonts w:hint="eastAsia" w:ascii="宋体" w:hAnsi="宋体"/>
          <w:sz w:val="28"/>
          <w:szCs w:val="28"/>
        </w:rPr>
        <w:t>1.项目立项的背景</w:t>
      </w:r>
      <w:bookmarkEnd w:id="12"/>
      <w:bookmarkEnd w:id="13"/>
      <w:bookmarkEnd w:id="14"/>
    </w:p>
    <w:p w14:paraId="1EBDB441">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12"/>
        <w:jc w:val="both"/>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党的十九大提出了实施健康中国战略的宏伟目标，医疗卫生服务体系的发展面临新的历史任务，要在“病有所医”上持续取得新进展，实现人人享有基本医疗卫生服务。医疗卫生行业具有服务对象广、工作负荷大、职业风险多、成才周期长、知识更新快的特点，提供优质高效的医疗卫生服务，一方面要依靠科技进步、理念创新，大力提升医疗技术水平，提高医疗服务效率；另一方面要加强医务队伍建设，提高医疗服务质量和效率，保障医疗安全，建立优质高效的医疗卫生服务体系。同时，新冠疫情对我市医疗救治体系带来巨大考验，并产生深刻影响，要求我市进一步推行分级诊疗制度，完善医疗保障机制，加强人才队伍建设，加快科研技术攻关，提升数字化服务能力，打造智慧医疗新业态。</w:t>
      </w:r>
    </w:p>
    <w:p w14:paraId="66DDE8CA">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12"/>
        <w:jc w:val="both"/>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随着长春市宽城区经济社会快速发展，卫生事业也迅速发展，但仍需进一步优化配置医疗卫生资源，有序发展医疗资源总量。例如《吉林省医疗机构设置规划(2016—2020年)》(吉卫医发[2016]16号)计划到2020年每千常住人口拥有床位数控制在5.78张，目前每千常住人口拥有床位约4.95张，与规划目标仍存在差距，像宽城区中医院、宽城区兰家镇中心卫生院等均未配置床位，全区缺编床位数518张。人民健康是社会文明进步的基础，卫生健康事业发展是人民健康的基石。由于宽城区兰家镇中心卫生院、宽城区中医院、宽城区疾病预防控制中心、宽城区卫生局卫生监督所所处位置、建筑面积、床位以及医疗设备情况等不能满足人们就医的需求，为促进我区医疗卫生资源进一步优化配置，落实医疗机构功能定位，更好的为全区人民提供优质高效医疗卫生服务，特提出将这四家单位整合至本建设项目，长春市宽城区卫生综合体建设项目建成后将极大改善宽城区人民群众的就医环境，有效缓解人民群众看病难问题，为宽城区人民群众医疗保健提供更舒心、更优质的服务，为保障宽城区人民群众身心健康发挥更大更强的作用。</w:t>
      </w:r>
    </w:p>
    <w:p w14:paraId="04D6EF85">
      <w:pPr>
        <w:pStyle w:val="4"/>
        <w:pageBreakBefore w:val="0"/>
        <w:wordWrap/>
        <w:overflowPunct/>
        <w:topLinePunct w:val="0"/>
        <w:bidi w:val="0"/>
        <w:spacing w:line="600" w:lineRule="exact"/>
        <w:ind w:firstLine="600"/>
        <w:textAlignment w:val="baseline"/>
        <w:rPr>
          <w:rFonts w:ascii="宋体" w:hAnsi="宋体"/>
          <w:sz w:val="28"/>
          <w:szCs w:val="28"/>
        </w:rPr>
      </w:pPr>
      <w:bookmarkStart w:id="15" w:name="_Toc9951"/>
      <w:bookmarkStart w:id="16" w:name="_Toc32030"/>
      <w:bookmarkStart w:id="17" w:name="_Toc3182"/>
      <w:r>
        <w:rPr>
          <w:rFonts w:hint="eastAsia" w:ascii="宋体" w:hAnsi="宋体"/>
          <w:sz w:val="28"/>
          <w:szCs w:val="28"/>
        </w:rPr>
        <w:t>2.项目实施单位基本情况</w:t>
      </w:r>
      <w:bookmarkEnd w:id="15"/>
      <w:bookmarkEnd w:id="16"/>
      <w:bookmarkEnd w:id="17"/>
    </w:p>
    <w:p w14:paraId="427C467B">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12"/>
        <w:jc w:val="both"/>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项目建设单位：长春市宽城区中医院，开办资金：127万人民币，事业单位法人证书：12220103423973314L，法定代表人：</w:t>
      </w:r>
      <w:r>
        <w:rPr>
          <w:rFonts w:hint="eastAsia" w:ascii="宋体" w:hAnsi="宋体" w:cs="仿宋_GB2312"/>
          <w:color w:val="333333"/>
          <w:spacing w:val="6"/>
          <w:sz w:val="28"/>
          <w:szCs w:val="28"/>
          <w:shd w:val="clear" w:color="auto" w:fill="FFFFFF"/>
          <w:lang w:val="en-US" w:eastAsia="zh-CN"/>
        </w:rPr>
        <w:t>李蕾</w:t>
      </w:r>
      <w:r>
        <w:rPr>
          <w:rFonts w:hint="eastAsia" w:ascii="宋体" w:hAnsi="宋体" w:cs="仿宋_GB2312"/>
          <w:color w:val="333333"/>
          <w:spacing w:val="6"/>
          <w:sz w:val="28"/>
          <w:szCs w:val="28"/>
          <w:shd w:val="clear" w:color="auto" w:fill="FFFFFF"/>
        </w:rPr>
        <w:t>，有效期：自</w:t>
      </w:r>
      <w:r>
        <w:rPr>
          <w:rFonts w:hint="eastAsia" w:ascii="宋体" w:hAnsi="宋体" w:cs="仿宋_GB2312"/>
          <w:color w:val="333333"/>
          <w:spacing w:val="6"/>
          <w:sz w:val="28"/>
          <w:szCs w:val="28"/>
          <w:shd w:val="clear" w:color="auto" w:fill="FFFFFF"/>
          <w:lang w:val="en-US" w:eastAsia="zh-CN"/>
        </w:rPr>
        <w:t>2024</w:t>
      </w:r>
      <w:r>
        <w:rPr>
          <w:rFonts w:hint="eastAsia" w:ascii="宋体" w:hAnsi="宋体" w:cs="仿宋_GB2312"/>
          <w:color w:val="333333"/>
          <w:spacing w:val="6"/>
          <w:sz w:val="28"/>
          <w:szCs w:val="28"/>
          <w:shd w:val="clear" w:color="auto" w:fill="FFFFFF"/>
        </w:rPr>
        <w:t>年07月</w:t>
      </w:r>
      <w:r>
        <w:rPr>
          <w:rFonts w:hint="eastAsia" w:ascii="宋体" w:hAnsi="宋体" w:cs="仿宋_GB2312"/>
          <w:color w:val="333333"/>
          <w:spacing w:val="6"/>
          <w:sz w:val="28"/>
          <w:szCs w:val="28"/>
          <w:shd w:val="clear" w:color="auto" w:fill="FFFFFF"/>
          <w:lang w:val="en-US" w:eastAsia="zh-CN"/>
        </w:rPr>
        <w:t>29</w:t>
      </w:r>
      <w:r>
        <w:rPr>
          <w:rFonts w:hint="eastAsia" w:ascii="宋体" w:hAnsi="宋体" w:cs="仿宋_GB2312"/>
          <w:color w:val="333333"/>
          <w:spacing w:val="6"/>
          <w:sz w:val="28"/>
          <w:szCs w:val="28"/>
          <w:shd w:val="clear" w:color="auto" w:fill="FFFFFF"/>
        </w:rPr>
        <w:t>日至202</w:t>
      </w:r>
      <w:r>
        <w:rPr>
          <w:rFonts w:hint="eastAsia" w:ascii="宋体" w:hAnsi="宋体" w:cs="仿宋_GB2312"/>
          <w:color w:val="333333"/>
          <w:spacing w:val="6"/>
          <w:sz w:val="28"/>
          <w:szCs w:val="28"/>
          <w:shd w:val="clear" w:color="auto" w:fill="FFFFFF"/>
          <w:lang w:val="en-US" w:eastAsia="zh-CN"/>
        </w:rPr>
        <w:t>9</w:t>
      </w:r>
      <w:r>
        <w:rPr>
          <w:rFonts w:hint="eastAsia" w:ascii="宋体" w:hAnsi="宋体" w:cs="仿宋_GB2312"/>
          <w:color w:val="333333"/>
          <w:spacing w:val="6"/>
          <w:sz w:val="28"/>
          <w:szCs w:val="28"/>
          <w:shd w:val="clear" w:color="auto" w:fill="FFFFFF"/>
        </w:rPr>
        <w:t>年07月</w:t>
      </w:r>
      <w:r>
        <w:rPr>
          <w:rFonts w:hint="eastAsia" w:ascii="宋体" w:hAnsi="宋体" w:cs="仿宋_GB2312"/>
          <w:color w:val="333333"/>
          <w:spacing w:val="6"/>
          <w:sz w:val="28"/>
          <w:szCs w:val="28"/>
          <w:shd w:val="clear" w:color="auto" w:fill="FFFFFF"/>
          <w:lang w:val="en-US" w:eastAsia="zh-CN"/>
        </w:rPr>
        <w:t>28</w:t>
      </w:r>
      <w:r>
        <w:rPr>
          <w:rFonts w:hint="eastAsia" w:ascii="宋体" w:hAnsi="宋体" w:cs="仿宋_GB2312"/>
          <w:color w:val="333333"/>
          <w:spacing w:val="6"/>
          <w:sz w:val="28"/>
          <w:szCs w:val="28"/>
          <w:shd w:val="clear" w:color="auto" w:fill="FFFFFF"/>
        </w:rPr>
        <w:t>日，</w:t>
      </w:r>
      <w:r>
        <w:rPr>
          <w:rFonts w:hint="eastAsia" w:ascii="宋体" w:hAnsi="宋体" w:cs="仿宋_GB2312"/>
          <w:color w:val="333333"/>
          <w:spacing w:val="6"/>
          <w:sz w:val="28"/>
          <w:szCs w:val="28"/>
          <w:shd w:val="clear" w:color="auto" w:fill="FFFFFF"/>
          <w:lang w:val="en-US" w:eastAsia="zh-CN"/>
        </w:rPr>
        <w:t>经费来源：财政补助（差额补贴）；</w:t>
      </w:r>
      <w:r>
        <w:rPr>
          <w:rFonts w:hint="eastAsia" w:ascii="宋体" w:hAnsi="宋体" w:cs="仿宋_GB2312"/>
          <w:color w:val="333333"/>
          <w:spacing w:val="6"/>
          <w:sz w:val="28"/>
          <w:szCs w:val="28"/>
          <w:shd w:val="clear" w:color="auto" w:fill="FFFFFF"/>
        </w:rPr>
        <w:t>住所：长春市宽城区龙江路16号，经营范围：为人民身体健康提供医疗与护理保健服务。预防保健、内科、外科、妇科、儿科、五官科、口腔科、皮肤科、急诊科、眼科、针灸理疗科、电诊科、放射线科、检验科。</w:t>
      </w:r>
    </w:p>
    <w:p w14:paraId="3D3D5585">
      <w:pPr>
        <w:pStyle w:val="4"/>
        <w:pageBreakBefore w:val="0"/>
        <w:wordWrap/>
        <w:overflowPunct/>
        <w:topLinePunct w:val="0"/>
        <w:bidi w:val="0"/>
        <w:spacing w:line="600" w:lineRule="exact"/>
        <w:ind w:firstLine="600"/>
        <w:textAlignment w:val="baseline"/>
        <w:rPr>
          <w:rFonts w:ascii="宋体" w:hAnsi="宋体"/>
          <w:sz w:val="28"/>
          <w:szCs w:val="28"/>
        </w:rPr>
      </w:pPr>
      <w:bookmarkStart w:id="18" w:name="_Toc26238"/>
      <w:bookmarkStart w:id="19" w:name="_Toc5367"/>
      <w:bookmarkStart w:id="20" w:name="_Toc8078"/>
      <w:r>
        <w:rPr>
          <w:rFonts w:hint="eastAsia" w:ascii="宋体" w:hAnsi="宋体"/>
          <w:sz w:val="28"/>
          <w:szCs w:val="28"/>
        </w:rPr>
        <w:t>3.项目</w:t>
      </w:r>
      <w:r>
        <w:rPr>
          <w:rFonts w:hint="eastAsia" w:ascii="宋体" w:hAnsi="宋体"/>
          <w:sz w:val="28"/>
          <w:szCs w:val="28"/>
          <w:lang w:val="en-US" w:eastAsia="zh-CN"/>
        </w:rPr>
        <w:t>建设</w:t>
      </w:r>
      <w:r>
        <w:rPr>
          <w:rFonts w:hint="eastAsia" w:ascii="宋体" w:hAnsi="宋体"/>
          <w:sz w:val="28"/>
          <w:szCs w:val="28"/>
        </w:rPr>
        <w:t>内容</w:t>
      </w:r>
      <w:bookmarkEnd w:id="18"/>
      <w:bookmarkEnd w:id="19"/>
      <w:bookmarkEnd w:id="20"/>
    </w:p>
    <w:p w14:paraId="7EBB6975">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12"/>
        <w:jc w:val="both"/>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本项目用地位置：长春市宽城区长农东路以东、丙七路以西、空地以南、甲五路以北。项目名称：长春市宽城区卫生综合体建设项目，项目代码：2015-220103-D4-01-577346；建设单位名称：长春市宽城区中医院。</w:t>
      </w:r>
    </w:p>
    <w:p w14:paraId="3C22218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12"/>
        <w:jc w:val="both"/>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根据《宽城区发展和改革局关于长春市宽城区卫生综合体建设项目初步设计的批复》（长宽发改字【2022】6号）及《关于调整长春市宽城区卫生综合体建设项目初步设计批复的通知》（长宽发改字【2022】15号】），本项目建设内容：地上9层(局部8层),总建筑面积21328.14平方米。</w:t>
      </w:r>
    </w:p>
    <w:p w14:paraId="7BA3591A">
      <w:pPr>
        <w:pStyle w:val="4"/>
        <w:pageBreakBefore w:val="0"/>
        <w:wordWrap/>
        <w:overflowPunct/>
        <w:topLinePunct w:val="0"/>
        <w:bidi w:val="0"/>
        <w:spacing w:line="600" w:lineRule="exact"/>
        <w:ind w:firstLine="600"/>
        <w:textAlignment w:val="baseline"/>
        <w:rPr>
          <w:rFonts w:ascii="宋体" w:hAnsi="宋体"/>
          <w:sz w:val="28"/>
          <w:szCs w:val="28"/>
        </w:rPr>
      </w:pPr>
      <w:bookmarkStart w:id="21" w:name="_Toc1475"/>
      <w:bookmarkStart w:id="22" w:name="_Toc18194"/>
      <w:bookmarkStart w:id="23" w:name="_Toc4"/>
      <w:r>
        <w:rPr>
          <w:rFonts w:hint="eastAsia" w:ascii="宋体" w:hAnsi="宋体"/>
          <w:sz w:val="28"/>
          <w:szCs w:val="28"/>
        </w:rPr>
        <w:t>4.项目实施情况</w:t>
      </w:r>
      <w:bookmarkEnd w:id="21"/>
      <w:bookmarkEnd w:id="22"/>
      <w:bookmarkEnd w:id="23"/>
    </w:p>
    <w:p w14:paraId="26B65012">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12"/>
        <w:jc w:val="both"/>
        <w:textAlignment w:val="baseline"/>
        <w:rPr>
          <w:rFonts w:hint="eastAsia" w:ascii="宋体" w:hAnsi="宋体" w:cs="仿宋_GB2312"/>
          <w:bCs/>
          <w:color w:val="333333"/>
          <w:spacing w:val="6"/>
          <w:sz w:val="28"/>
          <w:szCs w:val="28"/>
          <w:highlight w:val="none"/>
          <w:shd w:val="clear" w:color="auto" w:fill="FFFFFF"/>
        </w:rPr>
      </w:pPr>
      <w:r>
        <w:rPr>
          <w:rFonts w:hint="eastAsia" w:ascii="宋体" w:hAnsi="宋体" w:cs="仿宋_GB2312"/>
          <w:bCs/>
          <w:color w:val="333333"/>
          <w:spacing w:val="6"/>
          <w:sz w:val="28"/>
          <w:szCs w:val="28"/>
          <w:highlight w:val="none"/>
          <w:shd w:val="clear" w:color="auto" w:fill="FFFFFF"/>
        </w:rPr>
        <w:t>依据长春市宽城区中医院提供的《长春市宽城区卫生综合体建设项目基本情况说明》</w:t>
      </w:r>
      <w:r>
        <w:rPr>
          <w:rFonts w:hint="eastAsia" w:ascii="宋体" w:hAnsi="宋体" w:cs="仿宋_GB2312"/>
          <w:bCs/>
          <w:color w:val="333333"/>
          <w:spacing w:val="6"/>
          <w:sz w:val="28"/>
          <w:szCs w:val="28"/>
          <w:highlight w:val="none"/>
          <w:shd w:val="clear" w:color="auto" w:fill="FFFFFF"/>
          <w:lang w:val="en-US" w:eastAsia="zh-CN"/>
        </w:rPr>
        <w:t>等</w:t>
      </w:r>
      <w:r>
        <w:rPr>
          <w:rFonts w:hint="eastAsia" w:ascii="宋体" w:hAnsi="宋体" w:cs="仿宋_GB2312"/>
          <w:bCs/>
          <w:color w:val="333333"/>
          <w:spacing w:val="6"/>
          <w:sz w:val="28"/>
          <w:szCs w:val="28"/>
          <w:highlight w:val="none"/>
          <w:shd w:val="clear" w:color="auto" w:fill="FFFFFF"/>
        </w:rPr>
        <w:t>，本项目主体工程，红线内配电工程、红线内外热力工程及换热站安装施工、红线外自来水配套工程、室内装饰工程、消防工程、通风空调及弱电工程、医疗专项工程、地下室机械车位安装、室外工程院区围墙、道路绿化景观工程、污水处理设备安装、标识牌安装工作等均已完工，本项目在消防、人防、规划、档案、质检等部门联合验收阶段。</w:t>
      </w:r>
    </w:p>
    <w:p w14:paraId="61DB2924">
      <w:pPr>
        <w:pStyle w:val="4"/>
        <w:pageBreakBefore w:val="0"/>
        <w:wordWrap/>
        <w:overflowPunct/>
        <w:topLinePunct w:val="0"/>
        <w:bidi w:val="0"/>
        <w:spacing w:line="600" w:lineRule="exact"/>
        <w:ind w:firstLine="600"/>
        <w:textAlignment w:val="baseline"/>
        <w:rPr>
          <w:rFonts w:ascii="宋体" w:hAnsi="宋体"/>
          <w:sz w:val="28"/>
          <w:szCs w:val="28"/>
        </w:rPr>
      </w:pPr>
      <w:bookmarkStart w:id="24" w:name="_Toc20185"/>
      <w:bookmarkStart w:id="25" w:name="_Toc15857"/>
      <w:bookmarkStart w:id="26" w:name="_Toc15875"/>
      <w:r>
        <w:rPr>
          <w:rFonts w:hint="eastAsia" w:ascii="宋体" w:hAnsi="宋体"/>
          <w:sz w:val="28"/>
          <w:szCs w:val="28"/>
        </w:rPr>
        <w:t>5.资金筹措及到位情况</w:t>
      </w:r>
      <w:bookmarkEnd w:id="24"/>
      <w:bookmarkEnd w:id="25"/>
      <w:bookmarkEnd w:id="26"/>
    </w:p>
    <w:p w14:paraId="40A8D2E6">
      <w:pPr>
        <w:pStyle w:val="5"/>
        <w:pageBreakBefore w:val="0"/>
        <w:wordWrap/>
        <w:overflowPunct/>
        <w:topLinePunct w:val="0"/>
        <w:bidi w:val="0"/>
        <w:spacing w:line="600" w:lineRule="exact"/>
        <w:ind w:firstLine="600"/>
        <w:textAlignment w:val="baseline"/>
        <w:rPr>
          <w:rFonts w:ascii="宋体" w:hAnsi="宋体"/>
          <w:sz w:val="28"/>
          <w:szCs w:val="28"/>
        </w:rPr>
      </w:pPr>
      <w:r>
        <w:rPr>
          <w:rFonts w:hint="eastAsia" w:ascii="宋体" w:hAnsi="宋体"/>
          <w:sz w:val="28"/>
          <w:szCs w:val="28"/>
        </w:rPr>
        <w:t>（1）项目资金总额及组成</w:t>
      </w:r>
    </w:p>
    <w:p w14:paraId="0B38C777">
      <w:pPr>
        <w:pageBreakBefore w:val="0"/>
        <w:widowControl w:val="0"/>
        <w:wordWrap/>
        <w:overflowPunct/>
        <w:topLinePunct w:val="0"/>
        <w:bidi w:val="0"/>
        <w:spacing w:line="600" w:lineRule="exact"/>
        <w:ind w:firstLine="612"/>
        <w:jc w:val="both"/>
        <w:textAlignment w:val="baseline"/>
        <w:rPr>
          <w:rFonts w:hint="default" w:ascii="宋体" w:hAnsi="宋体" w:eastAsia="仿宋_GB2312" w:cs="仿宋_GB2312"/>
          <w:color w:val="333333"/>
          <w:spacing w:val="6"/>
          <w:sz w:val="28"/>
          <w:szCs w:val="28"/>
          <w:shd w:val="clear" w:color="auto" w:fill="FFFFFF"/>
          <w:lang w:val="en-US" w:eastAsia="zh-CN"/>
        </w:rPr>
      </w:pPr>
      <w:r>
        <w:rPr>
          <w:rFonts w:hint="eastAsia" w:ascii="宋体" w:hAnsi="宋体" w:cs="仿宋_GB2312"/>
          <w:color w:val="333333"/>
          <w:spacing w:val="6"/>
          <w:sz w:val="28"/>
          <w:szCs w:val="28"/>
          <w:shd w:val="clear" w:color="auto" w:fill="FFFFFF"/>
        </w:rPr>
        <w:t>依据《关于调整长春市宽城区卫生综合体建设项目初步设计批复的通知》（长宽发改字【2022】15号】），本项目总投资</w:t>
      </w:r>
      <w:r>
        <w:rPr>
          <w:rFonts w:hint="eastAsia" w:ascii="宋体" w:hAnsi="宋体" w:cs="仿宋_GB2312"/>
          <w:color w:val="333333"/>
          <w:spacing w:val="6"/>
          <w:sz w:val="28"/>
          <w:szCs w:val="28"/>
          <w:shd w:val="clear" w:color="auto" w:fill="FFFFFF"/>
          <w:lang w:val="en-US" w:eastAsia="zh-CN"/>
        </w:rPr>
        <w:t>概算</w:t>
      </w:r>
      <w:r>
        <w:rPr>
          <w:rFonts w:hint="eastAsia" w:ascii="宋体" w:hAnsi="宋体" w:cs="仿宋_GB2312"/>
          <w:color w:val="333333"/>
          <w:spacing w:val="6"/>
          <w:sz w:val="28"/>
          <w:szCs w:val="28"/>
          <w:shd w:val="clear" w:color="auto" w:fill="FFFFFF"/>
        </w:rPr>
        <w:t>为22,314.88万元，其中拟利用地方财政预算资金5,814.88万元，占比26.06%；发行地方政府专项债券16,500.00万元，占比73.94%，其中：2022年发行专项债券7,000.00万元</w:t>
      </w:r>
      <w:r>
        <w:rPr>
          <w:rFonts w:hint="eastAsia" w:ascii="宋体" w:hAnsi="宋体" w:cs="仿宋_GB2312"/>
          <w:color w:val="333333"/>
          <w:spacing w:val="6"/>
          <w:sz w:val="28"/>
          <w:szCs w:val="28"/>
          <w:shd w:val="clear" w:color="auto" w:fill="FFFFFF"/>
          <w:lang w:eastAsia="zh-CN"/>
        </w:rPr>
        <w:t>，</w:t>
      </w:r>
      <w:r>
        <w:rPr>
          <w:rFonts w:hint="eastAsia" w:ascii="宋体" w:hAnsi="宋体" w:cs="仿宋_GB2312"/>
          <w:color w:val="333333"/>
          <w:spacing w:val="6"/>
          <w:sz w:val="28"/>
          <w:szCs w:val="28"/>
          <w:shd w:val="clear" w:color="auto" w:fill="FFFFFF"/>
          <w:lang w:val="en-US" w:eastAsia="zh-CN"/>
        </w:rPr>
        <w:t>2024年</w:t>
      </w:r>
      <w:r>
        <w:rPr>
          <w:rFonts w:hint="eastAsia" w:ascii="宋体" w:hAnsi="宋体" w:cs="仿宋_GB2312"/>
          <w:color w:val="333333"/>
          <w:spacing w:val="6"/>
          <w:sz w:val="28"/>
          <w:szCs w:val="28"/>
          <w:shd w:val="clear" w:color="auto" w:fill="FFFFFF"/>
        </w:rPr>
        <w:t>发行专项债券</w:t>
      </w:r>
      <w:r>
        <w:rPr>
          <w:rFonts w:hint="eastAsia" w:ascii="宋体" w:hAnsi="宋体" w:cs="仿宋_GB2312"/>
          <w:color w:val="333333"/>
          <w:spacing w:val="6"/>
          <w:sz w:val="28"/>
          <w:szCs w:val="28"/>
          <w:shd w:val="clear" w:color="auto" w:fill="FFFFFF"/>
          <w:lang w:val="en-US" w:eastAsia="zh-CN"/>
        </w:rPr>
        <w:t>9</w:t>
      </w:r>
      <w:r>
        <w:rPr>
          <w:rFonts w:hint="eastAsia" w:ascii="宋体" w:hAnsi="宋体" w:cs="仿宋_GB2312"/>
          <w:color w:val="333333"/>
          <w:spacing w:val="6"/>
          <w:sz w:val="28"/>
          <w:szCs w:val="28"/>
          <w:shd w:val="clear" w:color="auto" w:fill="FFFFFF"/>
        </w:rPr>
        <w:t>,</w:t>
      </w:r>
      <w:r>
        <w:rPr>
          <w:rFonts w:hint="eastAsia" w:ascii="宋体" w:hAnsi="宋体" w:cs="仿宋_GB2312"/>
          <w:color w:val="333333"/>
          <w:spacing w:val="6"/>
          <w:sz w:val="28"/>
          <w:szCs w:val="28"/>
          <w:shd w:val="clear" w:color="auto" w:fill="FFFFFF"/>
          <w:lang w:val="en-US" w:eastAsia="zh-CN"/>
        </w:rPr>
        <w:t>5</w:t>
      </w:r>
      <w:r>
        <w:rPr>
          <w:rFonts w:hint="eastAsia" w:ascii="宋体" w:hAnsi="宋体" w:cs="仿宋_GB2312"/>
          <w:color w:val="333333"/>
          <w:spacing w:val="6"/>
          <w:sz w:val="28"/>
          <w:szCs w:val="28"/>
          <w:shd w:val="clear" w:color="auto" w:fill="FFFFFF"/>
        </w:rPr>
        <w:t>00.00万元。</w:t>
      </w:r>
    </w:p>
    <w:p w14:paraId="1B8641C2">
      <w:pPr>
        <w:pStyle w:val="5"/>
        <w:pageBreakBefore w:val="0"/>
        <w:wordWrap/>
        <w:overflowPunct/>
        <w:topLinePunct w:val="0"/>
        <w:bidi w:val="0"/>
        <w:spacing w:line="600" w:lineRule="exact"/>
        <w:ind w:firstLine="600"/>
        <w:textAlignment w:val="baseline"/>
        <w:rPr>
          <w:rFonts w:ascii="宋体" w:hAnsi="宋体"/>
          <w:sz w:val="28"/>
          <w:szCs w:val="28"/>
        </w:rPr>
      </w:pPr>
      <w:r>
        <w:rPr>
          <w:rFonts w:hint="eastAsia" w:ascii="宋体" w:hAnsi="宋体"/>
          <w:sz w:val="28"/>
          <w:szCs w:val="28"/>
        </w:rPr>
        <w:t>（2）资金投入</w:t>
      </w:r>
    </w:p>
    <w:p w14:paraId="3C30937B">
      <w:pPr>
        <w:pStyle w:val="5"/>
        <w:pageBreakBefore w:val="0"/>
        <w:wordWrap/>
        <w:overflowPunct/>
        <w:topLinePunct w:val="0"/>
        <w:bidi w:val="0"/>
        <w:spacing w:beforeLines="50" w:line="600" w:lineRule="exact"/>
        <w:ind w:firstLine="600"/>
        <w:textAlignment w:val="baseline"/>
        <w:rPr>
          <w:rFonts w:hint="eastAsia" w:ascii="宋体" w:hAnsi="宋体" w:cs="仿宋_GB2312"/>
          <w:color w:val="333333"/>
          <w:spacing w:val="6"/>
          <w:sz w:val="28"/>
          <w:szCs w:val="28"/>
          <w:shd w:val="clear" w:color="auto" w:fill="FFFFFF"/>
          <w:lang w:val="en-US" w:eastAsia="zh-CN"/>
        </w:rPr>
      </w:pPr>
      <w:r>
        <w:rPr>
          <w:rFonts w:hint="eastAsia" w:ascii="宋体" w:hAnsi="宋体" w:cs="仿宋_GB2312"/>
          <w:color w:val="333333"/>
          <w:spacing w:val="6"/>
          <w:sz w:val="28"/>
          <w:szCs w:val="28"/>
          <w:shd w:val="clear" w:color="auto" w:fill="FFFFFF"/>
        </w:rPr>
        <w:t>截至202</w:t>
      </w:r>
      <w:r>
        <w:rPr>
          <w:rFonts w:hint="eastAsia" w:ascii="宋体" w:hAnsi="宋体" w:cs="仿宋_GB2312"/>
          <w:color w:val="333333"/>
          <w:spacing w:val="6"/>
          <w:sz w:val="28"/>
          <w:szCs w:val="28"/>
          <w:shd w:val="clear" w:color="auto" w:fill="FFFFFF"/>
          <w:lang w:val="en-US" w:eastAsia="zh-CN"/>
        </w:rPr>
        <w:t>5</w:t>
      </w:r>
      <w:r>
        <w:rPr>
          <w:rFonts w:hint="eastAsia" w:ascii="宋体" w:hAnsi="宋体" w:cs="仿宋_GB2312"/>
          <w:color w:val="333333"/>
          <w:spacing w:val="6"/>
          <w:sz w:val="28"/>
          <w:szCs w:val="28"/>
          <w:shd w:val="clear" w:color="auto" w:fill="FFFFFF"/>
        </w:rPr>
        <w:t>年末，本项目资金到位共计17,184.56万元，其中：财政预算资金684.56万元，专项债券资本金到位</w:t>
      </w:r>
      <w:r>
        <w:rPr>
          <w:rFonts w:hint="eastAsia" w:ascii="宋体" w:hAnsi="宋体" w:cs="仿宋_GB2312"/>
          <w:color w:val="333333"/>
          <w:spacing w:val="6"/>
          <w:sz w:val="28"/>
          <w:szCs w:val="28"/>
          <w:shd w:val="clear" w:color="auto" w:fill="FFFFFF"/>
          <w:lang w:val="en-US" w:eastAsia="zh-CN"/>
        </w:rPr>
        <w:t>16</w:t>
      </w:r>
      <w:r>
        <w:rPr>
          <w:rFonts w:hint="eastAsia" w:ascii="宋体" w:hAnsi="宋体" w:cs="仿宋_GB2312"/>
          <w:color w:val="333333"/>
          <w:spacing w:val="6"/>
          <w:sz w:val="28"/>
          <w:szCs w:val="28"/>
          <w:shd w:val="clear" w:color="auto" w:fill="FFFFFF"/>
        </w:rPr>
        <w:t>,</w:t>
      </w:r>
      <w:r>
        <w:rPr>
          <w:rFonts w:hint="eastAsia" w:ascii="宋体" w:hAnsi="宋体" w:cs="仿宋_GB2312"/>
          <w:color w:val="333333"/>
          <w:spacing w:val="6"/>
          <w:sz w:val="28"/>
          <w:szCs w:val="28"/>
          <w:shd w:val="clear" w:color="auto" w:fill="FFFFFF"/>
          <w:lang w:val="en-US" w:eastAsia="zh-CN"/>
        </w:rPr>
        <w:t>5</w:t>
      </w:r>
      <w:r>
        <w:rPr>
          <w:rFonts w:hint="eastAsia" w:ascii="宋体" w:hAnsi="宋体" w:cs="仿宋_GB2312"/>
          <w:color w:val="333333"/>
          <w:spacing w:val="6"/>
          <w:sz w:val="28"/>
          <w:szCs w:val="28"/>
          <w:shd w:val="clear" w:color="auto" w:fill="FFFFFF"/>
        </w:rPr>
        <w:t>00.00万元。</w:t>
      </w:r>
      <w:r>
        <w:rPr>
          <w:rFonts w:hint="eastAsia" w:ascii="宋体" w:hAnsi="宋体" w:cs="仿宋_GB2312"/>
          <w:color w:val="333333"/>
          <w:spacing w:val="6"/>
          <w:sz w:val="28"/>
          <w:szCs w:val="28"/>
          <w:shd w:val="clear" w:color="auto" w:fill="FFFFFF"/>
          <w:lang w:val="en-US" w:eastAsia="zh-CN"/>
        </w:rPr>
        <w:t xml:space="preserve">2025年度到位财政预算资金92.67万元。  </w:t>
      </w:r>
    </w:p>
    <w:p w14:paraId="7B1140EB">
      <w:pPr>
        <w:pStyle w:val="5"/>
        <w:pageBreakBefore w:val="0"/>
        <w:wordWrap/>
        <w:overflowPunct/>
        <w:topLinePunct w:val="0"/>
        <w:bidi w:val="0"/>
        <w:spacing w:beforeLines="50" w:line="600" w:lineRule="exact"/>
        <w:ind w:firstLine="600"/>
        <w:textAlignment w:val="baseline"/>
        <w:rPr>
          <w:rFonts w:ascii="宋体" w:hAnsi="宋体"/>
          <w:sz w:val="28"/>
          <w:szCs w:val="28"/>
        </w:rPr>
      </w:pPr>
      <w:r>
        <w:rPr>
          <w:rFonts w:hint="eastAsia" w:ascii="宋体" w:hAnsi="宋体"/>
          <w:sz w:val="28"/>
          <w:szCs w:val="28"/>
        </w:rPr>
        <w:t>（3）资金使用</w:t>
      </w:r>
    </w:p>
    <w:p w14:paraId="57EEA287">
      <w:pPr>
        <w:pageBreakBefore w:val="0"/>
        <w:widowControl w:val="0"/>
        <w:kinsoku w:val="0"/>
        <w:wordWrap/>
        <w:overflowPunct/>
        <w:topLinePunct w:val="0"/>
        <w:autoSpaceDE w:val="0"/>
        <w:autoSpaceDN w:val="0"/>
        <w:bidi w:val="0"/>
        <w:adjustRightInd w:val="0"/>
        <w:snapToGrid w:val="0"/>
        <w:spacing w:line="600" w:lineRule="exact"/>
        <w:ind w:firstLine="584"/>
        <w:textAlignment w:val="baseline"/>
        <w:rPr>
          <w:rFonts w:ascii="宋体" w:hAnsi="宋体" w:cs="仿宋_GB2312"/>
          <w:sz w:val="28"/>
          <w:szCs w:val="28"/>
        </w:rPr>
      </w:pPr>
      <w:r>
        <w:rPr>
          <w:rFonts w:hint="eastAsia" w:ascii="宋体" w:hAnsi="宋体" w:cs="仿宋_GB2312"/>
          <w:spacing w:val="-8"/>
          <w:sz w:val="28"/>
          <w:szCs w:val="28"/>
        </w:rPr>
        <w:t>截至20</w:t>
      </w:r>
      <w:r>
        <w:rPr>
          <w:rFonts w:hint="eastAsia" w:ascii="宋体" w:hAnsi="宋体" w:cs="仿宋_GB2312"/>
          <w:spacing w:val="-8"/>
          <w:sz w:val="28"/>
          <w:szCs w:val="28"/>
          <w:lang w:val="en-US" w:eastAsia="zh-CN"/>
        </w:rPr>
        <w:t>25</w:t>
      </w:r>
      <w:r>
        <w:rPr>
          <w:rFonts w:hint="eastAsia" w:ascii="宋体" w:hAnsi="宋体" w:cs="仿宋_GB2312"/>
          <w:spacing w:val="-8"/>
          <w:sz w:val="28"/>
          <w:szCs w:val="28"/>
        </w:rPr>
        <w:t>年末，本项目资本金支出共计</w:t>
      </w:r>
      <w:r>
        <w:rPr>
          <w:rFonts w:hint="eastAsia" w:ascii="宋体" w:hAnsi="宋体" w:cs="仿宋_GB2312"/>
          <w:color w:val="333333"/>
          <w:spacing w:val="6"/>
          <w:sz w:val="28"/>
          <w:szCs w:val="28"/>
          <w:shd w:val="clear" w:color="auto" w:fill="FFFFFF"/>
        </w:rPr>
        <w:t>17,184.56万</w:t>
      </w:r>
      <w:r>
        <w:rPr>
          <w:rFonts w:hint="eastAsia" w:ascii="宋体" w:hAnsi="宋体" w:cs="仿宋_GB2312"/>
          <w:spacing w:val="-8"/>
          <w:sz w:val="28"/>
          <w:szCs w:val="28"/>
        </w:rPr>
        <w:t>元，其中财政预算资金</w:t>
      </w:r>
      <w:r>
        <w:rPr>
          <w:rFonts w:hint="eastAsia" w:ascii="宋体" w:hAnsi="宋体" w:cs="仿宋_GB2312"/>
          <w:color w:val="333333"/>
          <w:spacing w:val="6"/>
          <w:sz w:val="28"/>
          <w:szCs w:val="28"/>
          <w:shd w:val="clear" w:color="auto" w:fill="FFFFFF"/>
        </w:rPr>
        <w:t>684.56</w:t>
      </w:r>
      <w:r>
        <w:rPr>
          <w:rFonts w:hint="eastAsia" w:ascii="宋体" w:hAnsi="宋体" w:cs="仿宋_GB2312"/>
          <w:spacing w:val="-8"/>
          <w:sz w:val="28"/>
          <w:szCs w:val="28"/>
        </w:rPr>
        <w:t>万元，专项债券资金</w:t>
      </w:r>
      <w:r>
        <w:rPr>
          <w:rFonts w:hint="eastAsia" w:ascii="宋体" w:hAnsi="宋体" w:cs="仿宋_GB2312"/>
          <w:color w:val="333333"/>
          <w:spacing w:val="6"/>
          <w:sz w:val="28"/>
          <w:szCs w:val="28"/>
          <w:shd w:val="clear" w:color="auto" w:fill="FFFFFF"/>
          <w:lang w:val="en-US" w:eastAsia="zh-CN"/>
        </w:rPr>
        <w:t>16</w:t>
      </w:r>
      <w:r>
        <w:rPr>
          <w:rFonts w:hint="eastAsia" w:ascii="宋体" w:hAnsi="宋体" w:cs="仿宋_GB2312"/>
          <w:color w:val="333333"/>
          <w:spacing w:val="6"/>
          <w:sz w:val="28"/>
          <w:szCs w:val="28"/>
          <w:shd w:val="clear" w:color="auto" w:fill="FFFFFF"/>
        </w:rPr>
        <w:t>,</w:t>
      </w:r>
      <w:r>
        <w:rPr>
          <w:rFonts w:hint="eastAsia" w:ascii="宋体" w:hAnsi="宋体" w:cs="仿宋_GB2312"/>
          <w:color w:val="333333"/>
          <w:spacing w:val="6"/>
          <w:sz w:val="28"/>
          <w:szCs w:val="28"/>
          <w:shd w:val="clear" w:color="auto" w:fill="FFFFFF"/>
          <w:lang w:val="en-US" w:eastAsia="zh-CN"/>
        </w:rPr>
        <w:t>5</w:t>
      </w:r>
      <w:r>
        <w:rPr>
          <w:rFonts w:hint="eastAsia" w:ascii="宋体" w:hAnsi="宋体" w:cs="仿宋_GB2312"/>
          <w:color w:val="333333"/>
          <w:spacing w:val="6"/>
          <w:sz w:val="28"/>
          <w:szCs w:val="28"/>
          <w:shd w:val="clear" w:color="auto" w:fill="FFFFFF"/>
        </w:rPr>
        <w:t>00.00</w:t>
      </w:r>
      <w:r>
        <w:rPr>
          <w:rFonts w:hint="eastAsia" w:ascii="宋体" w:hAnsi="宋体" w:cs="仿宋_GB2312"/>
          <w:spacing w:val="-8"/>
          <w:sz w:val="28"/>
          <w:szCs w:val="28"/>
        </w:rPr>
        <w:t>万元。</w:t>
      </w:r>
      <w:r>
        <w:rPr>
          <w:rFonts w:hint="eastAsia" w:ascii="宋体" w:hAnsi="宋体" w:cs="仿宋_GB2312"/>
          <w:spacing w:val="-8"/>
          <w:sz w:val="28"/>
          <w:szCs w:val="28"/>
          <w:lang w:val="en-US" w:eastAsia="zh-CN"/>
        </w:rPr>
        <w:t>2025年度使用财政预算资金92.67万元</w:t>
      </w:r>
      <w:r>
        <w:rPr>
          <w:rFonts w:hint="eastAsia" w:ascii="宋体" w:hAnsi="宋体" w:cs="仿宋_GB2312"/>
          <w:spacing w:val="5"/>
          <w:sz w:val="28"/>
          <w:szCs w:val="28"/>
        </w:rPr>
        <w:t>，资金使用率100.00%</w:t>
      </w:r>
      <w:r>
        <w:rPr>
          <w:rFonts w:hint="eastAsia" w:ascii="宋体" w:hAnsi="宋体" w:cs="仿宋_GB2312"/>
          <w:spacing w:val="5"/>
          <w:sz w:val="28"/>
          <w:szCs w:val="28"/>
          <w:lang w:eastAsia="zh-CN"/>
        </w:rPr>
        <w:t>，</w:t>
      </w:r>
      <w:r>
        <w:rPr>
          <w:rFonts w:hint="eastAsia" w:ascii="宋体" w:hAnsi="宋体" w:cs="仿宋_GB2312"/>
          <w:spacing w:val="5"/>
          <w:sz w:val="28"/>
          <w:szCs w:val="28"/>
          <w:lang w:val="en-US" w:eastAsia="zh-CN"/>
        </w:rPr>
        <w:t>主要用于支付工程相关的设计费等前期费用</w:t>
      </w:r>
      <w:r>
        <w:rPr>
          <w:rFonts w:hint="eastAsia" w:ascii="宋体" w:hAnsi="宋体" w:cs="仿宋_GB2312"/>
          <w:spacing w:val="5"/>
          <w:sz w:val="28"/>
          <w:szCs w:val="28"/>
        </w:rPr>
        <w:t>。</w:t>
      </w:r>
    </w:p>
    <w:p w14:paraId="2D3DF6F8">
      <w:pPr>
        <w:pStyle w:val="3"/>
        <w:pageBreakBefore w:val="0"/>
        <w:kinsoku w:val="0"/>
        <w:wordWrap/>
        <w:overflowPunct/>
        <w:topLinePunct w:val="0"/>
        <w:autoSpaceDE w:val="0"/>
        <w:autoSpaceDN w:val="0"/>
        <w:bidi w:val="0"/>
        <w:adjustRightInd w:val="0"/>
        <w:snapToGrid w:val="0"/>
        <w:spacing w:line="600" w:lineRule="exact"/>
        <w:ind w:firstLine="602"/>
        <w:textAlignment w:val="baseline"/>
        <w:rPr>
          <w:rFonts w:ascii="宋体" w:hAnsi="宋体"/>
          <w:sz w:val="28"/>
          <w:szCs w:val="28"/>
        </w:rPr>
      </w:pPr>
      <w:bookmarkStart w:id="27" w:name="_bookmark3"/>
      <w:bookmarkEnd w:id="27"/>
      <w:bookmarkStart w:id="28" w:name="_Toc5691"/>
      <w:bookmarkStart w:id="29" w:name="_Toc454"/>
      <w:bookmarkStart w:id="30" w:name="_Toc18757"/>
      <w:r>
        <w:rPr>
          <w:rFonts w:hint="eastAsia" w:ascii="宋体" w:hAnsi="宋体"/>
          <w:sz w:val="28"/>
          <w:szCs w:val="28"/>
        </w:rPr>
        <w:t>（二）项目绩效目标</w:t>
      </w:r>
      <w:bookmarkEnd w:id="28"/>
      <w:bookmarkEnd w:id="29"/>
      <w:bookmarkEnd w:id="30"/>
    </w:p>
    <w:p w14:paraId="2407C304">
      <w:pPr>
        <w:pStyle w:val="4"/>
        <w:pageBreakBefore w:val="0"/>
        <w:kinsoku w:val="0"/>
        <w:wordWrap/>
        <w:overflowPunct/>
        <w:topLinePunct w:val="0"/>
        <w:autoSpaceDE w:val="0"/>
        <w:autoSpaceDN w:val="0"/>
        <w:bidi w:val="0"/>
        <w:adjustRightInd w:val="0"/>
        <w:snapToGrid w:val="0"/>
        <w:spacing w:line="600" w:lineRule="exact"/>
        <w:ind w:firstLine="600"/>
        <w:textAlignment w:val="baseline"/>
        <w:rPr>
          <w:rFonts w:ascii="宋体" w:hAnsi="宋体"/>
          <w:sz w:val="28"/>
          <w:szCs w:val="28"/>
        </w:rPr>
      </w:pPr>
      <w:bookmarkStart w:id="31" w:name="_Toc2987"/>
      <w:bookmarkStart w:id="32" w:name="_Toc32626"/>
      <w:bookmarkStart w:id="33" w:name="_Toc24290"/>
      <w:r>
        <w:rPr>
          <w:rFonts w:hint="eastAsia" w:ascii="宋体" w:hAnsi="宋体"/>
          <w:sz w:val="28"/>
          <w:szCs w:val="28"/>
        </w:rPr>
        <w:t>1.总体目标</w:t>
      </w:r>
      <w:bookmarkEnd w:id="31"/>
      <w:bookmarkEnd w:id="32"/>
      <w:bookmarkEnd w:id="33"/>
    </w:p>
    <w:p w14:paraId="41636C32">
      <w:pPr>
        <w:pageBreakBefore w:val="0"/>
        <w:widowControl w:val="0"/>
        <w:kinsoku w:val="0"/>
        <w:wordWrap/>
        <w:overflowPunct/>
        <w:topLinePunct w:val="0"/>
        <w:autoSpaceDE w:val="0"/>
        <w:autoSpaceDN w:val="0"/>
        <w:bidi w:val="0"/>
        <w:adjustRightInd w:val="0"/>
        <w:snapToGrid w:val="0"/>
        <w:spacing w:line="600" w:lineRule="exact"/>
        <w:ind w:firstLine="584"/>
        <w:textAlignment w:val="baseline"/>
        <w:rPr>
          <w:rFonts w:hint="eastAsia" w:ascii="宋体" w:hAnsi="宋体" w:cs="仿宋_GB2312"/>
          <w:spacing w:val="-8"/>
          <w:sz w:val="28"/>
          <w:szCs w:val="28"/>
        </w:rPr>
      </w:pPr>
      <w:r>
        <w:rPr>
          <w:rFonts w:hint="eastAsia" w:ascii="宋体" w:hAnsi="宋体" w:cs="仿宋_GB2312"/>
          <w:spacing w:val="-8"/>
          <w:sz w:val="28"/>
          <w:szCs w:val="28"/>
        </w:rPr>
        <w:t>本项目总体目标是完成全部工程建设，完成全部投资计划。</w:t>
      </w:r>
      <w:bookmarkStart w:id="34" w:name="_Toc18369"/>
      <w:bookmarkStart w:id="35" w:name="_Toc27422"/>
      <w:bookmarkStart w:id="36" w:name="_Toc17187"/>
    </w:p>
    <w:p w14:paraId="1DAD0319">
      <w:pPr>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sz w:val="28"/>
          <w:szCs w:val="28"/>
          <w:highlight w:val="none"/>
        </w:rPr>
      </w:pPr>
      <w:r>
        <w:rPr>
          <w:rFonts w:hint="eastAsia" w:ascii="宋体" w:hAnsi="宋体"/>
          <w:sz w:val="28"/>
          <w:szCs w:val="28"/>
          <w:highlight w:val="none"/>
          <w:lang w:val="en-US" w:eastAsia="zh-CN"/>
        </w:rPr>
        <w:t>2.</w:t>
      </w:r>
      <w:r>
        <w:rPr>
          <w:rFonts w:hint="eastAsia" w:ascii="宋体" w:hAnsi="宋体"/>
          <w:sz w:val="28"/>
          <w:szCs w:val="28"/>
          <w:highlight w:val="none"/>
        </w:rPr>
        <w:t>年度目标</w:t>
      </w:r>
      <w:bookmarkEnd w:id="34"/>
      <w:bookmarkEnd w:id="35"/>
      <w:bookmarkEnd w:id="36"/>
      <w:bookmarkStart w:id="37" w:name="_bookmark5"/>
      <w:bookmarkEnd w:id="37"/>
      <w:bookmarkStart w:id="38" w:name="_bookmark4"/>
      <w:bookmarkEnd w:id="38"/>
      <w:bookmarkStart w:id="39" w:name="_Toc15155"/>
      <w:bookmarkStart w:id="40" w:name="_Toc24372"/>
      <w:bookmarkStart w:id="41" w:name="_Toc1385"/>
    </w:p>
    <w:p w14:paraId="378D58BE">
      <w:pPr>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528" w:firstLineChars="200"/>
        <w:textAlignment w:val="baseline"/>
        <w:rPr>
          <w:rFonts w:hint="eastAsia" w:ascii="宋体" w:hAnsi="宋体" w:eastAsia="仿宋_GB2312" w:cs="仿宋_GB2312"/>
          <w:b w:val="0"/>
          <w:spacing w:val="-8"/>
          <w:kern w:val="0"/>
          <w:sz w:val="28"/>
          <w:szCs w:val="28"/>
          <w:highlight w:val="none"/>
        </w:rPr>
      </w:pPr>
      <w:r>
        <w:rPr>
          <w:rFonts w:hint="eastAsia" w:ascii="宋体" w:hAnsi="宋体" w:eastAsia="仿宋_GB2312" w:cs="仿宋_GB2312"/>
          <w:b w:val="0"/>
          <w:spacing w:val="-8"/>
          <w:kern w:val="0"/>
          <w:sz w:val="28"/>
          <w:szCs w:val="28"/>
          <w:highlight w:val="none"/>
        </w:rPr>
        <w:t>目标1：投资规模达到项目总投资额的</w:t>
      </w:r>
      <w:r>
        <w:rPr>
          <w:rFonts w:hint="eastAsia" w:ascii="宋体" w:hAnsi="宋体" w:cs="仿宋_GB2312"/>
          <w:b w:val="0"/>
          <w:spacing w:val="-8"/>
          <w:kern w:val="0"/>
          <w:sz w:val="28"/>
          <w:szCs w:val="28"/>
          <w:highlight w:val="none"/>
          <w:lang w:val="en-US" w:eastAsia="zh-CN"/>
        </w:rPr>
        <w:t>90</w:t>
      </w:r>
      <w:r>
        <w:rPr>
          <w:rFonts w:hint="eastAsia" w:ascii="宋体" w:hAnsi="宋体" w:eastAsia="仿宋_GB2312" w:cs="仿宋_GB2312"/>
          <w:b w:val="0"/>
          <w:spacing w:val="-8"/>
          <w:kern w:val="0"/>
          <w:sz w:val="28"/>
          <w:szCs w:val="28"/>
          <w:highlight w:val="none"/>
        </w:rPr>
        <w:t>%。</w:t>
      </w:r>
      <w:bookmarkEnd w:id="39"/>
      <w:bookmarkEnd w:id="40"/>
      <w:bookmarkEnd w:id="41"/>
      <w:bookmarkStart w:id="42" w:name="_Toc15814"/>
      <w:bookmarkStart w:id="43" w:name="_Toc14084"/>
      <w:bookmarkStart w:id="44" w:name="_Toc8674"/>
    </w:p>
    <w:p w14:paraId="5F7604D8">
      <w:pPr>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528" w:firstLineChars="200"/>
        <w:textAlignment w:val="baseline"/>
        <w:rPr>
          <w:rFonts w:ascii="宋体" w:hAnsi="宋体" w:eastAsia="仿宋_GB2312" w:cs="仿宋_GB2312"/>
          <w:b w:val="0"/>
          <w:spacing w:val="-8"/>
          <w:kern w:val="0"/>
          <w:sz w:val="28"/>
          <w:szCs w:val="28"/>
          <w:highlight w:val="none"/>
        </w:rPr>
      </w:pPr>
      <w:r>
        <w:rPr>
          <w:rFonts w:hint="eastAsia" w:ascii="宋体" w:hAnsi="宋体" w:eastAsia="仿宋_GB2312" w:cs="仿宋_GB2312"/>
          <w:b w:val="0"/>
          <w:spacing w:val="-8"/>
          <w:kern w:val="0"/>
          <w:sz w:val="28"/>
          <w:szCs w:val="28"/>
          <w:highlight w:val="none"/>
        </w:rPr>
        <w:t>目标2：完成项目工程项目建设进度目标的</w:t>
      </w:r>
      <w:r>
        <w:rPr>
          <w:rFonts w:hint="eastAsia" w:ascii="宋体" w:hAnsi="宋体" w:cs="仿宋_GB2312"/>
          <w:b w:val="0"/>
          <w:spacing w:val="-8"/>
          <w:kern w:val="0"/>
          <w:sz w:val="28"/>
          <w:szCs w:val="28"/>
          <w:highlight w:val="none"/>
          <w:lang w:val="en-US" w:eastAsia="zh-CN"/>
        </w:rPr>
        <w:t>100</w:t>
      </w:r>
      <w:r>
        <w:rPr>
          <w:rFonts w:hint="eastAsia" w:ascii="宋体" w:hAnsi="宋体" w:eastAsia="仿宋_GB2312" w:cs="仿宋_GB2312"/>
          <w:b w:val="0"/>
          <w:spacing w:val="-8"/>
          <w:kern w:val="0"/>
          <w:sz w:val="28"/>
          <w:szCs w:val="28"/>
          <w:highlight w:val="none"/>
        </w:rPr>
        <w:t>%。</w:t>
      </w:r>
      <w:bookmarkEnd w:id="42"/>
      <w:bookmarkEnd w:id="43"/>
      <w:bookmarkEnd w:id="44"/>
    </w:p>
    <w:p w14:paraId="291571D4">
      <w:pPr>
        <w:pStyle w:val="2"/>
        <w:pageBreakBefore w:val="0"/>
        <w:kinsoku w:val="0"/>
        <w:wordWrap/>
        <w:overflowPunct/>
        <w:topLinePunct w:val="0"/>
        <w:autoSpaceDE w:val="0"/>
        <w:autoSpaceDN w:val="0"/>
        <w:bidi w:val="0"/>
        <w:adjustRightInd w:val="0"/>
        <w:snapToGrid w:val="0"/>
        <w:spacing w:line="600" w:lineRule="exact"/>
        <w:ind w:firstLine="602"/>
        <w:textAlignment w:val="baseline"/>
        <w:rPr>
          <w:rFonts w:ascii="宋体" w:hAnsi="宋体"/>
          <w:sz w:val="28"/>
          <w:szCs w:val="28"/>
        </w:rPr>
      </w:pPr>
      <w:bookmarkStart w:id="45" w:name="_Toc11072"/>
      <w:bookmarkStart w:id="46" w:name="_Toc23344"/>
      <w:bookmarkStart w:id="47" w:name="_Toc1821"/>
      <w:r>
        <w:rPr>
          <w:rFonts w:hint="eastAsia" w:ascii="宋体" w:hAnsi="宋体"/>
          <w:sz w:val="28"/>
          <w:szCs w:val="28"/>
        </w:rPr>
        <w:t>二、绩效评价工作开展情况</w:t>
      </w:r>
      <w:bookmarkEnd w:id="45"/>
      <w:bookmarkEnd w:id="46"/>
      <w:bookmarkEnd w:id="47"/>
    </w:p>
    <w:p w14:paraId="1D1AD729">
      <w:pPr>
        <w:pStyle w:val="3"/>
        <w:pageBreakBefore w:val="0"/>
        <w:kinsoku w:val="0"/>
        <w:wordWrap/>
        <w:overflowPunct/>
        <w:topLinePunct w:val="0"/>
        <w:autoSpaceDE w:val="0"/>
        <w:autoSpaceDN w:val="0"/>
        <w:bidi w:val="0"/>
        <w:adjustRightInd w:val="0"/>
        <w:snapToGrid w:val="0"/>
        <w:spacing w:line="600" w:lineRule="exact"/>
        <w:ind w:firstLine="602"/>
        <w:textAlignment w:val="baseline"/>
        <w:rPr>
          <w:rFonts w:ascii="宋体" w:hAnsi="宋体"/>
          <w:sz w:val="28"/>
          <w:szCs w:val="28"/>
        </w:rPr>
      </w:pPr>
      <w:bookmarkStart w:id="48" w:name="_Toc9027"/>
      <w:bookmarkStart w:id="49" w:name="_Toc30968"/>
      <w:bookmarkStart w:id="50" w:name="_Toc15624"/>
      <w:r>
        <w:rPr>
          <w:rFonts w:hint="eastAsia" w:ascii="宋体" w:hAnsi="宋体"/>
          <w:sz w:val="28"/>
          <w:szCs w:val="28"/>
        </w:rPr>
        <w:t>（一）绩效评价目的、对象和范围</w:t>
      </w:r>
      <w:bookmarkEnd w:id="48"/>
      <w:bookmarkEnd w:id="49"/>
      <w:bookmarkEnd w:id="50"/>
    </w:p>
    <w:p w14:paraId="175E2459">
      <w:pPr>
        <w:pStyle w:val="4"/>
        <w:pageBreakBefore w:val="0"/>
        <w:kinsoku w:val="0"/>
        <w:wordWrap/>
        <w:overflowPunct/>
        <w:topLinePunct w:val="0"/>
        <w:autoSpaceDE w:val="0"/>
        <w:autoSpaceDN w:val="0"/>
        <w:bidi w:val="0"/>
        <w:adjustRightInd w:val="0"/>
        <w:snapToGrid w:val="0"/>
        <w:spacing w:line="600" w:lineRule="exact"/>
        <w:ind w:firstLine="600"/>
        <w:textAlignment w:val="baseline"/>
        <w:rPr>
          <w:rFonts w:ascii="宋体" w:hAnsi="宋体"/>
          <w:sz w:val="28"/>
          <w:szCs w:val="28"/>
        </w:rPr>
      </w:pPr>
      <w:bookmarkStart w:id="51" w:name="_Toc7076"/>
      <w:bookmarkStart w:id="52" w:name="_Toc18179"/>
      <w:bookmarkStart w:id="53" w:name="_Toc20708"/>
      <w:r>
        <w:rPr>
          <w:rFonts w:hint="eastAsia" w:ascii="宋体" w:hAnsi="宋体"/>
          <w:sz w:val="28"/>
          <w:szCs w:val="28"/>
        </w:rPr>
        <w:t>1.评价目的</w:t>
      </w:r>
      <w:bookmarkEnd w:id="51"/>
      <w:bookmarkEnd w:id="52"/>
      <w:bookmarkEnd w:id="53"/>
    </w:p>
    <w:p w14:paraId="1011E297">
      <w:pPr>
        <w:pageBreakBefore w:val="0"/>
        <w:widowControl w:val="0"/>
        <w:kinsoku w:val="0"/>
        <w:wordWrap/>
        <w:overflowPunct/>
        <w:topLinePunct w:val="0"/>
        <w:autoSpaceDE w:val="0"/>
        <w:autoSpaceDN w:val="0"/>
        <w:bidi w:val="0"/>
        <w:adjustRightInd w:val="0"/>
        <w:snapToGrid w:val="0"/>
        <w:spacing w:line="600" w:lineRule="exact"/>
        <w:ind w:firstLine="584"/>
        <w:textAlignment w:val="baseline"/>
        <w:rPr>
          <w:rFonts w:ascii="宋体" w:hAnsi="宋体" w:cs="仿宋_GB2312"/>
          <w:spacing w:val="-8"/>
          <w:sz w:val="28"/>
          <w:szCs w:val="28"/>
        </w:rPr>
      </w:pPr>
      <w:r>
        <w:rPr>
          <w:rFonts w:hint="eastAsia" w:ascii="宋体" w:hAnsi="宋体" w:cs="仿宋_GB2312"/>
          <w:spacing w:val="-8"/>
          <w:sz w:val="28"/>
          <w:szCs w:val="28"/>
        </w:rPr>
        <w:t>（1）通过对长春市宽城区卫生综合体建设项目的绩效评价，了解和掌握项目实施的具体情况，评价其项目资金安排的科学性、合理性、规范性和资金使用成效，及时总结项目管理经验，完善项目管理办法，提高项目管理水平和资金的使用效益。</w:t>
      </w:r>
    </w:p>
    <w:p w14:paraId="2E8115BF">
      <w:pPr>
        <w:pageBreakBefore w:val="0"/>
        <w:widowControl w:val="0"/>
        <w:kinsoku w:val="0"/>
        <w:wordWrap/>
        <w:overflowPunct/>
        <w:topLinePunct w:val="0"/>
        <w:autoSpaceDE w:val="0"/>
        <w:autoSpaceDN w:val="0"/>
        <w:bidi w:val="0"/>
        <w:adjustRightInd w:val="0"/>
        <w:snapToGrid w:val="0"/>
        <w:spacing w:line="600" w:lineRule="exact"/>
        <w:ind w:firstLine="584"/>
        <w:textAlignment w:val="baseline"/>
        <w:rPr>
          <w:rFonts w:ascii="宋体" w:hAnsi="宋体" w:cs="仿宋_GB2312"/>
          <w:spacing w:val="-8"/>
          <w:sz w:val="28"/>
          <w:szCs w:val="28"/>
        </w:rPr>
      </w:pPr>
      <w:r>
        <w:rPr>
          <w:rFonts w:hint="eastAsia" w:ascii="宋体" w:hAnsi="宋体" w:cs="仿宋_GB2312"/>
          <w:spacing w:val="-8"/>
          <w:sz w:val="28"/>
          <w:szCs w:val="28"/>
        </w:rPr>
        <w:t>（2）促使项目承担单位根据绩效评价中发现的问题，认真加以整改，及时调整和完善单位的工作计划和绩效目标并加强项目管理，提高管理水平，同时为项目后续资金投入、分配和管理提供决策依据。</w:t>
      </w:r>
    </w:p>
    <w:p w14:paraId="4894F243">
      <w:pPr>
        <w:pStyle w:val="4"/>
        <w:pageBreakBefore w:val="0"/>
        <w:kinsoku w:val="0"/>
        <w:wordWrap/>
        <w:overflowPunct/>
        <w:topLinePunct w:val="0"/>
        <w:autoSpaceDE w:val="0"/>
        <w:autoSpaceDN w:val="0"/>
        <w:bidi w:val="0"/>
        <w:adjustRightInd w:val="0"/>
        <w:snapToGrid w:val="0"/>
        <w:spacing w:line="600" w:lineRule="exact"/>
        <w:ind w:firstLine="600"/>
        <w:textAlignment w:val="baseline"/>
        <w:rPr>
          <w:rFonts w:ascii="宋体" w:hAnsi="宋体"/>
          <w:sz w:val="28"/>
          <w:szCs w:val="28"/>
        </w:rPr>
      </w:pPr>
      <w:bookmarkStart w:id="54" w:name="_Toc4360"/>
      <w:bookmarkStart w:id="55" w:name="_Toc29899"/>
      <w:bookmarkStart w:id="56" w:name="_Toc23340"/>
      <w:r>
        <w:rPr>
          <w:rFonts w:hint="eastAsia" w:ascii="宋体" w:hAnsi="宋体"/>
          <w:sz w:val="28"/>
          <w:szCs w:val="28"/>
        </w:rPr>
        <w:t>2.评价对象</w:t>
      </w:r>
      <w:bookmarkEnd w:id="54"/>
      <w:bookmarkEnd w:id="55"/>
      <w:bookmarkEnd w:id="56"/>
    </w:p>
    <w:p w14:paraId="45E20177">
      <w:pPr>
        <w:pageBreakBefore w:val="0"/>
        <w:widowControl w:val="0"/>
        <w:kinsoku w:val="0"/>
        <w:wordWrap/>
        <w:overflowPunct/>
        <w:topLinePunct w:val="0"/>
        <w:autoSpaceDE w:val="0"/>
        <w:autoSpaceDN w:val="0"/>
        <w:bidi w:val="0"/>
        <w:adjustRightInd w:val="0"/>
        <w:snapToGrid w:val="0"/>
        <w:spacing w:line="600" w:lineRule="exact"/>
        <w:ind w:firstLine="584"/>
        <w:textAlignment w:val="baseline"/>
        <w:rPr>
          <w:rFonts w:ascii="宋体" w:hAnsi="宋体" w:cs="仿宋_GB2312"/>
          <w:spacing w:val="-8"/>
          <w:sz w:val="28"/>
          <w:szCs w:val="28"/>
        </w:rPr>
      </w:pPr>
      <w:r>
        <w:rPr>
          <w:rFonts w:hint="eastAsia" w:ascii="宋体" w:hAnsi="宋体" w:cs="仿宋_GB2312"/>
          <w:spacing w:val="-8"/>
          <w:sz w:val="28"/>
          <w:szCs w:val="28"/>
        </w:rPr>
        <w:t>本次绩效评价对象为长春市宽城区卫生综合体建设项目。</w:t>
      </w:r>
    </w:p>
    <w:p w14:paraId="0CEB5171">
      <w:pPr>
        <w:pStyle w:val="4"/>
        <w:pageBreakBefore w:val="0"/>
        <w:kinsoku w:val="0"/>
        <w:wordWrap/>
        <w:overflowPunct/>
        <w:topLinePunct w:val="0"/>
        <w:autoSpaceDE w:val="0"/>
        <w:autoSpaceDN w:val="0"/>
        <w:bidi w:val="0"/>
        <w:adjustRightInd w:val="0"/>
        <w:snapToGrid w:val="0"/>
        <w:spacing w:line="600" w:lineRule="exact"/>
        <w:ind w:firstLine="600"/>
        <w:textAlignment w:val="baseline"/>
        <w:rPr>
          <w:rFonts w:ascii="宋体" w:hAnsi="宋体"/>
          <w:sz w:val="28"/>
          <w:szCs w:val="28"/>
        </w:rPr>
      </w:pPr>
      <w:bookmarkStart w:id="57" w:name="_Toc22423"/>
      <w:bookmarkStart w:id="58" w:name="_Toc10968"/>
      <w:bookmarkStart w:id="59" w:name="_Toc8645"/>
      <w:r>
        <w:rPr>
          <w:rFonts w:hint="eastAsia" w:ascii="宋体" w:hAnsi="宋体"/>
          <w:sz w:val="28"/>
          <w:szCs w:val="28"/>
        </w:rPr>
        <w:t>3.评价范围</w:t>
      </w:r>
      <w:bookmarkEnd w:id="57"/>
      <w:bookmarkEnd w:id="58"/>
      <w:bookmarkEnd w:id="59"/>
    </w:p>
    <w:p w14:paraId="1C9384E7">
      <w:pPr>
        <w:pageBreakBefore w:val="0"/>
        <w:widowControl w:val="0"/>
        <w:kinsoku w:val="0"/>
        <w:wordWrap/>
        <w:overflowPunct/>
        <w:topLinePunct w:val="0"/>
        <w:autoSpaceDE w:val="0"/>
        <w:autoSpaceDN w:val="0"/>
        <w:bidi w:val="0"/>
        <w:adjustRightInd w:val="0"/>
        <w:snapToGrid w:val="0"/>
        <w:spacing w:line="600" w:lineRule="exact"/>
        <w:ind w:firstLine="584"/>
        <w:textAlignment w:val="baseline"/>
        <w:rPr>
          <w:rFonts w:ascii="宋体" w:hAnsi="宋体" w:cs="仿宋_GB2312"/>
          <w:spacing w:val="-8"/>
          <w:sz w:val="28"/>
          <w:szCs w:val="28"/>
        </w:rPr>
      </w:pPr>
      <w:r>
        <w:rPr>
          <w:rFonts w:hint="eastAsia" w:ascii="宋体" w:hAnsi="宋体" w:cs="仿宋_GB2312"/>
          <w:spacing w:val="-8"/>
          <w:sz w:val="28"/>
          <w:szCs w:val="28"/>
        </w:rPr>
        <w:t>本次绩效评价将主要对长春市宽城区卫生综合体建设项目进行评价，涉及地区为长春宽城经济开发区。涉及具体项目1个，涉及的相关单位有：长春宽城经济开发区管理委员会、长春市宽城区中医院等多个部门。</w:t>
      </w:r>
    </w:p>
    <w:p w14:paraId="44175812">
      <w:pPr>
        <w:pageBreakBefore w:val="0"/>
        <w:widowControl w:val="0"/>
        <w:kinsoku w:val="0"/>
        <w:wordWrap/>
        <w:overflowPunct/>
        <w:topLinePunct w:val="0"/>
        <w:autoSpaceDE w:val="0"/>
        <w:autoSpaceDN w:val="0"/>
        <w:bidi w:val="0"/>
        <w:adjustRightInd w:val="0"/>
        <w:snapToGrid w:val="0"/>
        <w:spacing w:line="600" w:lineRule="exact"/>
        <w:ind w:firstLine="584"/>
        <w:textAlignment w:val="baseline"/>
        <w:rPr>
          <w:rFonts w:ascii="宋体" w:hAnsi="宋体" w:cs="仿宋_GB2312"/>
          <w:spacing w:val="-8"/>
          <w:sz w:val="28"/>
          <w:szCs w:val="28"/>
        </w:rPr>
      </w:pPr>
      <w:r>
        <w:rPr>
          <w:rFonts w:hint="eastAsia" w:ascii="宋体" w:hAnsi="宋体" w:cs="仿宋_GB2312"/>
          <w:spacing w:val="-8"/>
          <w:sz w:val="28"/>
          <w:szCs w:val="28"/>
        </w:rPr>
        <w:t>本次项目绩效评价主要围绕项目决策、资金管理、项目产出和效益等多个角度考察项目目标实现情况、预算执行情况和项目整体效果。重点评价专项债券资金的拨付、发放及使用环节。</w:t>
      </w:r>
    </w:p>
    <w:p w14:paraId="7BD58197">
      <w:pPr>
        <w:pStyle w:val="3"/>
        <w:pageBreakBefore w:val="0"/>
        <w:numPr>
          <w:ilvl w:val="0"/>
          <w:numId w:val="1"/>
        </w:numPr>
        <w:wordWrap/>
        <w:overflowPunct/>
        <w:topLinePunct w:val="0"/>
        <w:bidi w:val="0"/>
        <w:spacing w:line="600" w:lineRule="exact"/>
        <w:ind w:firstLine="602"/>
        <w:textAlignment w:val="baseline"/>
        <w:rPr>
          <w:rFonts w:ascii="宋体" w:hAnsi="宋体"/>
          <w:sz w:val="28"/>
          <w:szCs w:val="28"/>
        </w:rPr>
      </w:pPr>
      <w:bookmarkStart w:id="60" w:name="_bookmark6"/>
      <w:bookmarkEnd w:id="60"/>
      <w:bookmarkStart w:id="61" w:name="_Toc15786"/>
      <w:bookmarkStart w:id="62" w:name="_Toc2244"/>
      <w:bookmarkStart w:id="63" w:name="_Toc18080"/>
      <w:r>
        <w:rPr>
          <w:rFonts w:hint="eastAsia" w:ascii="宋体" w:hAnsi="宋体"/>
          <w:sz w:val="28"/>
          <w:szCs w:val="28"/>
        </w:rPr>
        <w:t>绩效评价依据</w:t>
      </w:r>
      <w:bookmarkEnd w:id="61"/>
      <w:bookmarkEnd w:id="62"/>
      <w:bookmarkEnd w:id="63"/>
    </w:p>
    <w:p w14:paraId="4BAF1C77">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（1）《项目支出绩效评价管理办法》（财预【2020】10号）；</w:t>
      </w:r>
    </w:p>
    <w:p w14:paraId="54573C3B">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（2）《吉林省项目支出绩效评价管理暂行办法》（吉财绩【2020】711号）；</w:t>
      </w:r>
    </w:p>
    <w:p w14:paraId="1D9DABA1">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（3）《地方政府专项债券项目资金绩效管理办法》（财预【2021】61号）；</w:t>
      </w:r>
    </w:p>
    <w:p w14:paraId="627C4A3B">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（4）《吉林省地方政府专项债券项目绩效评价管理办法（试行）》（吉财债【2021】1044）；</w:t>
      </w:r>
    </w:p>
    <w:p w14:paraId="28906445">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（5）《吉林省项目支出预算绩效目标管理办法》（吉财绩【2021】1333号）；</w:t>
      </w:r>
    </w:p>
    <w:p w14:paraId="1DE2C965">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（6）《国家发展改革委关于加强中央预算内投资项目概算调整管理的通知》（发改投资【2009】1550号）；</w:t>
      </w:r>
    </w:p>
    <w:p w14:paraId="1ABAD269">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（7）《关于印发〈基本建设项目建设成本管理规定〉的通知》（财建【2016】504号）；</w:t>
      </w:r>
    </w:p>
    <w:p w14:paraId="09738A5B">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（8）《中共中央国务院关于全面实施预算绩效管理的意见》（2018年9月1日）；</w:t>
      </w:r>
    </w:p>
    <w:p w14:paraId="0720E609">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（9）《关于委托第三方机构参与预算绩效管理的指导意见》（财预【2021】6号）；</w:t>
      </w:r>
    </w:p>
    <w:p w14:paraId="78DEB94C">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（10）《长春市宽城区卫生综合体建设项目》的可行性研究报告及批复、项目收益与融资自求平衡方案等其他资料；</w:t>
      </w:r>
    </w:p>
    <w:p w14:paraId="462CEBE1">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（11）项目实施期的会计凭证、相关记录、现场资料等；</w:t>
      </w:r>
    </w:p>
    <w:p w14:paraId="558584C4">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（12）相关材料的说明及其他项目资料。</w:t>
      </w:r>
    </w:p>
    <w:p w14:paraId="1F78D4D4">
      <w:pPr>
        <w:pStyle w:val="3"/>
        <w:pageBreakBefore w:val="0"/>
        <w:wordWrap/>
        <w:overflowPunct/>
        <w:topLinePunct w:val="0"/>
        <w:bidi w:val="0"/>
        <w:spacing w:line="600" w:lineRule="exact"/>
        <w:ind w:firstLine="602"/>
        <w:textAlignment w:val="baseline"/>
        <w:rPr>
          <w:rFonts w:ascii="宋体" w:hAnsi="宋体"/>
          <w:sz w:val="28"/>
          <w:szCs w:val="28"/>
        </w:rPr>
      </w:pPr>
      <w:bookmarkStart w:id="64" w:name="_Toc20128"/>
      <w:bookmarkStart w:id="65" w:name="_Toc10614"/>
      <w:bookmarkStart w:id="66" w:name="_Toc31424"/>
      <w:r>
        <w:rPr>
          <w:rFonts w:hint="eastAsia" w:ascii="宋体" w:hAnsi="宋体"/>
          <w:sz w:val="28"/>
          <w:szCs w:val="28"/>
        </w:rPr>
        <w:t>（三）绩效评价原则</w:t>
      </w:r>
      <w:bookmarkEnd w:id="64"/>
      <w:bookmarkEnd w:id="65"/>
      <w:bookmarkEnd w:id="66"/>
    </w:p>
    <w:p w14:paraId="7B65C013">
      <w:pPr>
        <w:pStyle w:val="4"/>
        <w:pageBreakBefore w:val="0"/>
        <w:wordWrap/>
        <w:overflowPunct/>
        <w:topLinePunct w:val="0"/>
        <w:bidi w:val="0"/>
        <w:spacing w:line="600" w:lineRule="exact"/>
        <w:ind w:firstLine="600"/>
        <w:textAlignment w:val="baseline"/>
        <w:rPr>
          <w:rFonts w:ascii="宋体" w:hAnsi="宋体"/>
          <w:sz w:val="28"/>
          <w:szCs w:val="28"/>
        </w:rPr>
      </w:pPr>
      <w:bookmarkStart w:id="67" w:name="_Toc19161"/>
      <w:bookmarkStart w:id="68" w:name="_Toc30992"/>
      <w:bookmarkStart w:id="69" w:name="_Toc1889"/>
      <w:r>
        <w:rPr>
          <w:rFonts w:hint="eastAsia" w:ascii="宋体" w:hAnsi="宋体"/>
          <w:sz w:val="28"/>
          <w:szCs w:val="28"/>
        </w:rPr>
        <w:t>1.科学规范</w:t>
      </w:r>
      <w:bookmarkEnd w:id="67"/>
      <w:bookmarkEnd w:id="68"/>
      <w:bookmarkEnd w:id="69"/>
    </w:p>
    <w:p w14:paraId="29F89ABE">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bCs/>
          <w:color w:val="333333"/>
          <w:spacing w:val="6"/>
          <w:sz w:val="28"/>
          <w:szCs w:val="28"/>
          <w:shd w:val="clear" w:color="auto" w:fill="FFFFFF"/>
        </w:rPr>
      </w:pPr>
      <w:r>
        <w:rPr>
          <w:rFonts w:hint="eastAsia" w:ascii="宋体" w:hAnsi="宋体" w:cs="仿宋_GB2312"/>
          <w:bCs/>
          <w:color w:val="333333"/>
          <w:spacing w:val="6"/>
          <w:sz w:val="28"/>
          <w:szCs w:val="28"/>
          <w:shd w:val="clear" w:color="auto" w:fill="FFFFFF"/>
        </w:rPr>
        <w:t>专项债券项目资金绩效实行全生命周期管理。坚持“举债必问效、无效必问责”，遵循项目支出绩效管理的基本要求，注重融资收益平衡与偿债风险。建立规范的工作流程和指标体系，推动绩效管理工作有序开展。</w:t>
      </w:r>
    </w:p>
    <w:p w14:paraId="378809F7">
      <w:pPr>
        <w:pStyle w:val="4"/>
        <w:pageBreakBefore w:val="0"/>
        <w:wordWrap/>
        <w:overflowPunct/>
        <w:topLinePunct w:val="0"/>
        <w:bidi w:val="0"/>
        <w:spacing w:line="600" w:lineRule="exact"/>
        <w:ind w:firstLine="600"/>
        <w:textAlignment w:val="baseline"/>
        <w:rPr>
          <w:rFonts w:ascii="宋体" w:hAnsi="宋体"/>
          <w:sz w:val="28"/>
          <w:szCs w:val="28"/>
        </w:rPr>
      </w:pPr>
      <w:bookmarkStart w:id="70" w:name="_Toc11558"/>
      <w:bookmarkStart w:id="71" w:name="_Toc17372"/>
      <w:bookmarkStart w:id="72" w:name="_Toc7686"/>
      <w:r>
        <w:rPr>
          <w:rFonts w:hint="eastAsia" w:ascii="宋体" w:hAnsi="宋体"/>
          <w:sz w:val="28"/>
          <w:szCs w:val="28"/>
        </w:rPr>
        <w:t>2.协同配合</w:t>
      </w:r>
      <w:bookmarkEnd w:id="70"/>
      <w:bookmarkEnd w:id="71"/>
      <w:bookmarkEnd w:id="72"/>
    </w:p>
    <w:p w14:paraId="44DE75C0">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bCs/>
          <w:color w:val="333333"/>
          <w:spacing w:val="6"/>
          <w:sz w:val="28"/>
          <w:szCs w:val="28"/>
          <w:shd w:val="clear" w:color="auto" w:fill="FFFFFF"/>
        </w:rPr>
      </w:pPr>
      <w:r>
        <w:rPr>
          <w:rFonts w:hint="eastAsia" w:ascii="宋体" w:hAnsi="宋体" w:cs="仿宋_GB2312"/>
          <w:bCs/>
          <w:color w:val="333333"/>
          <w:spacing w:val="6"/>
          <w:sz w:val="28"/>
          <w:szCs w:val="28"/>
          <w:shd w:val="clear" w:color="auto" w:fill="FFFFFF"/>
        </w:rPr>
        <w:t>各级财政部门牵头组织专项债券项目资金绩效管理工作，督促指导项目主管部门和项目单位具体实施各项管理工作。上级财政部门加强工作指导和检查。</w:t>
      </w:r>
    </w:p>
    <w:p w14:paraId="0A5C4A12">
      <w:pPr>
        <w:pStyle w:val="4"/>
        <w:pageBreakBefore w:val="0"/>
        <w:wordWrap/>
        <w:overflowPunct/>
        <w:topLinePunct w:val="0"/>
        <w:bidi w:val="0"/>
        <w:spacing w:line="600" w:lineRule="exact"/>
        <w:ind w:firstLine="600"/>
        <w:textAlignment w:val="baseline"/>
        <w:rPr>
          <w:rFonts w:ascii="宋体" w:hAnsi="宋体"/>
          <w:sz w:val="28"/>
          <w:szCs w:val="28"/>
        </w:rPr>
      </w:pPr>
      <w:bookmarkStart w:id="73" w:name="_Toc16482"/>
      <w:bookmarkStart w:id="74" w:name="_Toc20206"/>
      <w:bookmarkStart w:id="75" w:name="_Toc28493"/>
      <w:r>
        <w:rPr>
          <w:rFonts w:hint="eastAsia" w:ascii="宋体" w:hAnsi="宋体"/>
          <w:sz w:val="28"/>
          <w:szCs w:val="28"/>
        </w:rPr>
        <w:t>3.公开透明</w:t>
      </w:r>
      <w:bookmarkEnd w:id="73"/>
      <w:bookmarkEnd w:id="74"/>
      <w:bookmarkEnd w:id="75"/>
    </w:p>
    <w:p w14:paraId="1AC47762">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bCs/>
          <w:color w:val="333333"/>
          <w:spacing w:val="6"/>
          <w:sz w:val="28"/>
          <w:szCs w:val="28"/>
          <w:shd w:val="clear" w:color="auto" w:fill="FFFFFF"/>
        </w:rPr>
      </w:pPr>
      <w:r>
        <w:rPr>
          <w:rFonts w:hint="eastAsia" w:ascii="宋体" w:hAnsi="宋体" w:cs="仿宋_GB2312"/>
          <w:bCs/>
          <w:color w:val="333333"/>
          <w:spacing w:val="6"/>
          <w:sz w:val="28"/>
          <w:szCs w:val="28"/>
          <w:shd w:val="clear" w:color="auto" w:fill="FFFFFF"/>
        </w:rPr>
        <w:t>绩效信息是专项债券项目信息的重要组成部分，应当依法依规公开，自觉接受社会监督，通过公开推动提高专项资金使用绩效。</w:t>
      </w:r>
    </w:p>
    <w:p w14:paraId="181F0C27">
      <w:pPr>
        <w:pStyle w:val="4"/>
        <w:pageBreakBefore w:val="0"/>
        <w:wordWrap/>
        <w:overflowPunct/>
        <w:topLinePunct w:val="0"/>
        <w:bidi w:val="0"/>
        <w:spacing w:line="600" w:lineRule="exact"/>
        <w:ind w:firstLine="600"/>
        <w:textAlignment w:val="baseline"/>
        <w:rPr>
          <w:rFonts w:ascii="宋体" w:hAnsi="宋体"/>
          <w:sz w:val="28"/>
          <w:szCs w:val="28"/>
        </w:rPr>
      </w:pPr>
      <w:bookmarkStart w:id="76" w:name="_Toc23338"/>
      <w:bookmarkStart w:id="77" w:name="_Toc19140"/>
      <w:bookmarkStart w:id="78" w:name="_Toc21208"/>
      <w:r>
        <w:rPr>
          <w:rFonts w:hint="eastAsia" w:ascii="宋体" w:hAnsi="宋体"/>
          <w:sz w:val="28"/>
          <w:szCs w:val="28"/>
        </w:rPr>
        <w:t>4.强化运用</w:t>
      </w:r>
      <w:bookmarkEnd w:id="76"/>
      <w:bookmarkEnd w:id="77"/>
      <w:bookmarkEnd w:id="78"/>
    </w:p>
    <w:p w14:paraId="40566BE8">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bCs/>
          <w:color w:val="333333"/>
          <w:spacing w:val="6"/>
          <w:sz w:val="28"/>
          <w:szCs w:val="28"/>
          <w:shd w:val="clear" w:color="auto" w:fill="FFFFFF"/>
        </w:rPr>
      </w:pPr>
      <w:r>
        <w:rPr>
          <w:rFonts w:hint="eastAsia" w:ascii="宋体" w:hAnsi="宋体" w:cs="仿宋_GB2312"/>
          <w:bCs/>
          <w:color w:val="333333"/>
          <w:spacing w:val="6"/>
          <w:sz w:val="28"/>
          <w:szCs w:val="28"/>
          <w:shd w:val="clear" w:color="auto" w:fill="FFFFFF"/>
        </w:rPr>
        <w:t>突出绩效管理结果的激励约束作用，将专项债券项目资金绩效管理结果作为专项债券额度分配的重要测算因素，并与有关管理措施和政策试点等挂钩。</w:t>
      </w:r>
    </w:p>
    <w:p w14:paraId="6BC5D97F">
      <w:pPr>
        <w:pStyle w:val="3"/>
        <w:pageBreakBefore w:val="0"/>
        <w:wordWrap/>
        <w:overflowPunct/>
        <w:topLinePunct w:val="0"/>
        <w:bidi w:val="0"/>
        <w:spacing w:line="600" w:lineRule="exact"/>
        <w:ind w:firstLine="602"/>
        <w:textAlignment w:val="baseline"/>
        <w:rPr>
          <w:rFonts w:ascii="宋体" w:hAnsi="宋体"/>
          <w:sz w:val="28"/>
          <w:szCs w:val="28"/>
        </w:rPr>
      </w:pPr>
      <w:bookmarkStart w:id="79" w:name="_Toc9357"/>
      <w:bookmarkStart w:id="80" w:name="_Toc11804"/>
      <w:bookmarkStart w:id="81" w:name="_Toc13017"/>
      <w:r>
        <w:rPr>
          <w:rFonts w:hint="eastAsia" w:ascii="宋体" w:hAnsi="宋体"/>
          <w:sz w:val="28"/>
          <w:szCs w:val="28"/>
        </w:rPr>
        <w:t>（四）评价指标体系、评价方法、评价标准</w:t>
      </w:r>
      <w:bookmarkEnd w:id="79"/>
      <w:bookmarkEnd w:id="80"/>
      <w:bookmarkEnd w:id="81"/>
    </w:p>
    <w:p w14:paraId="4DEAC1D1">
      <w:pPr>
        <w:pStyle w:val="4"/>
        <w:pageBreakBefore w:val="0"/>
        <w:wordWrap/>
        <w:overflowPunct/>
        <w:topLinePunct w:val="0"/>
        <w:bidi w:val="0"/>
        <w:spacing w:line="600" w:lineRule="exact"/>
        <w:ind w:firstLine="600"/>
        <w:textAlignment w:val="baseline"/>
        <w:rPr>
          <w:rFonts w:ascii="宋体" w:hAnsi="宋体"/>
          <w:sz w:val="28"/>
          <w:szCs w:val="28"/>
        </w:rPr>
      </w:pPr>
      <w:bookmarkStart w:id="82" w:name="_Toc30111"/>
      <w:bookmarkStart w:id="83" w:name="_Toc15226"/>
      <w:bookmarkStart w:id="84" w:name="_Toc2465"/>
      <w:r>
        <w:rPr>
          <w:rFonts w:hint="eastAsia" w:ascii="宋体" w:hAnsi="宋体"/>
          <w:sz w:val="28"/>
          <w:szCs w:val="28"/>
        </w:rPr>
        <w:t>1.评价指标体系</w:t>
      </w:r>
      <w:bookmarkEnd w:id="82"/>
      <w:bookmarkEnd w:id="83"/>
      <w:bookmarkEnd w:id="84"/>
    </w:p>
    <w:p w14:paraId="46AA6328">
      <w:pPr>
        <w:pageBreakBefore w:val="0"/>
        <w:widowControl w:val="0"/>
        <w:wordWrap/>
        <w:overflowPunct/>
        <w:topLinePunct w:val="0"/>
        <w:bidi w:val="0"/>
        <w:spacing w:line="600" w:lineRule="exact"/>
        <w:ind w:firstLine="584"/>
        <w:textAlignment w:val="baseline"/>
        <w:rPr>
          <w:rFonts w:ascii="宋体" w:hAnsi="宋体" w:cs="仿宋_GB2312"/>
          <w:bCs/>
          <w:spacing w:val="-8"/>
          <w:sz w:val="28"/>
          <w:szCs w:val="28"/>
        </w:rPr>
      </w:pPr>
      <w:r>
        <w:rPr>
          <w:rFonts w:hint="eastAsia" w:ascii="宋体" w:hAnsi="宋体" w:cs="仿宋_GB2312"/>
          <w:bCs/>
          <w:spacing w:val="-8"/>
          <w:sz w:val="28"/>
          <w:szCs w:val="28"/>
        </w:rPr>
        <w:t>绩效评价指标体系包括项目决策、项目管理、项目产出、项目效益四类指标，共计100分。</w:t>
      </w:r>
    </w:p>
    <w:p w14:paraId="56276415">
      <w:pPr>
        <w:pageBreakBefore w:val="0"/>
        <w:widowControl w:val="0"/>
        <w:wordWrap/>
        <w:overflowPunct/>
        <w:topLinePunct w:val="0"/>
        <w:bidi w:val="0"/>
        <w:spacing w:line="600" w:lineRule="exact"/>
        <w:ind w:firstLine="584"/>
        <w:textAlignment w:val="baseline"/>
        <w:rPr>
          <w:rFonts w:hint="eastAsia" w:ascii="宋体" w:hAnsi="宋体" w:cs="仿宋_GB2312"/>
          <w:spacing w:val="-8"/>
          <w:sz w:val="28"/>
          <w:szCs w:val="28"/>
        </w:rPr>
      </w:pPr>
      <w:r>
        <w:rPr>
          <w:rFonts w:hint="eastAsia" w:ascii="宋体" w:hAnsi="宋体" w:cs="仿宋_GB2312"/>
          <w:spacing w:val="-8"/>
          <w:sz w:val="28"/>
          <w:szCs w:val="28"/>
        </w:rPr>
        <w:t>具体绩效指标体系如表1所示。</w:t>
      </w:r>
    </w:p>
    <w:tbl>
      <w:tblPr>
        <w:tblStyle w:val="14"/>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8"/>
        <w:gridCol w:w="2100"/>
        <w:gridCol w:w="5304"/>
      </w:tblGrid>
      <w:tr w14:paraId="737E9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trPr>
        <w:tc>
          <w:tcPr>
            <w:tcW w:w="8862" w:type="dxa"/>
            <w:gridSpan w:val="3"/>
            <w:tcBorders>
              <w:top w:val="nil"/>
              <w:left w:val="nil"/>
              <w:bottom w:val="single" w:color="auto" w:sz="4" w:space="0"/>
              <w:right w:val="nil"/>
            </w:tcBorders>
            <w:vAlign w:val="center"/>
          </w:tcPr>
          <w:p w14:paraId="73254F2C">
            <w:pPr>
              <w:widowControl w:val="0"/>
              <w:spacing w:line="240" w:lineRule="exact"/>
              <w:ind w:firstLine="0" w:firstLineChars="0"/>
              <w:jc w:val="center"/>
              <w:rPr>
                <w:rFonts w:ascii="宋体" w:hAnsi="宋体" w:eastAsiaTheme="minorEastAsia" w:cstheme="minorEastAsia"/>
                <w:b/>
                <w:bCs/>
                <w:spacing w:val="-6"/>
                <w:sz w:val="18"/>
                <w:szCs w:val="18"/>
              </w:rPr>
            </w:pPr>
            <w:r>
              <w:rPr>
                <w:rFonts w:hint="eastAsia" w:ascii="宋体" w:hAnsi="宋体" w:eastAsiaTheme="minorEastAsia" w:cstheme="minorEastAsia"/>
                <w:b/>
                <w:bCs/>
                <w:spacing w:val="4"/>
                <w:sz w:val="18"/>
                <w:szCs w:val="18"/>
              </w:rPr>
              <w:t>表</w:t>
            </w:r>
            <w:r>
              <w:rPr>
                <w:rFonts w:hint="eastAsia" w:ascii="宋体" w:hAnsi="宋体" w:eastAsiaTheme="minorEastAsia" w:cstheme="minorEastAsia"/>
                <w:b/>
                <w:bCs/>
                <w:spacing w:val="2"/>
                <w:sz w:val="18"/>
                <w:szCs w:val="18"/>
              </w:rPr>
              <w:t>1－绩效指标体系</w:t>
            </w:r>
          </w:p>
        </w:tc>
      </w:tr>
      <w:tr w14:paraId="203BE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trPr>
        <w:tc>
          <w:tcPr>
            <w:tcW w:w="1458" w:type="dxa"/>
            <w:tcBorders>
              <w:top w:val="single" w:color="auto" w:sz="4" w:space="0"/>
              <w:bottom w:val="single" w:color="auto" w:sz="4" w:space="0"/>
            </w:tcBorders>
            <w:vAlign w:val="center"/>
          </w:tcPr>
          <w:p w14:paraId="6007343F">
            <w:pPr>
              <w:widowControl w:val="0"/>
              <w:spacing w:line="240" w:lineRule="exact"/>
              <w:ind w:firstLine="0" w:firstLineChars="0"/>
              <w:jc w:val="center"/>
              <w:rPr>
                <w:rFonts w:ascii="宋体" w:hAnsi="宋体" w:eastAsiaTheme="minorEastAsia" w:cstheme="minorEastAsia"/>
                <w:b/>
                <w:bCs/>
                <w:sz w:val="18"/>
                <w:szCs w:val="18"/>
              </w:rPr>
            </w:pPr>
            <w:r>
              <w:rPr>
                <w:rFonts w:hint="eastAsia" w:ascii="宋体" w:hAnsi="宋体" w:eastAsiaTheme="minorEastAsia" w:cstheme="minorEastAsia"/>
                <w:b/>
                <w:bCs/>
                <w:spacing w:val="-7"/>
                <w:position w:val="2"/>
                <w:sz w:val="18"/>
                <w:szCs w:val="18"/>
              </w:rPr>
              <w:t>一</w:t>
            </w:r>
            <w:r>
              <w:rPr>
                <w:rFonts w:hint="eastAsia" w:ascii="宋体" w:hAnsi="宋体" w:eastAsiaTheme="minorEastAsia" w:cstheme="minorEastAsia"/>
                <w:b/>
                <w:bCs/>
                <w:spacing w:val="-5"/>
                <w:position w:val="2"/>
                <w:sz w:val="18"/>
                <w:szCs w:val="18"/>
              </w:rPr>
              <w:t>级指标</w:t>
            </w:r>
          </w:p>
        </w:tc>
        <w:tc>
          <w:tcPr>
            <w:tcW w:w="2100" w:type="dxa"/>
            <w:tcBorders>
              <w:top w:val="single" w:color="auto" w:sz="4" w:space="0"/>
              <w:bottom w:val="single" w:color="auto" w:sz="4" w:space="0"/>
            </w:tcBorders>
            <w:vAlign w:val="center"/>
          </w:tcPr>
          <w:p w14:paraId="7A98A3AB">
            <w:pPr>
              <w:widowControl w:val="0"/>
              <w:spacing w:line="240" w:lineRule="exact"/>
              <w:ind w:firstLine="0" w:firstLineChars="0"/>
              <w:jc w:val="center"/>
              <w:rPr>
                <w:rFonts w:ascii="宋体" w:hAnsi="宋体" w:eastAsiaTheme="minorEastAsia" w:cstheme="minorEastAsia"/>
                <w:b/>
                <w:bCs/>
                <w:sz w:val="18"/>
                <w:szCs w:val="18"/>
              </w:rPr>
            </w:pPr>
            <w:r>
              <w:rPr>
                <w:rFonts w:hint="eastAsia" w:ascii="宋体" w:hAnsi="宋体" w:eastAsiaTheme="minorEastAsia" w:cstheme="minorEastAsia"/>
                <w:b/>
                <w:bCs/>
                <w:spacing w:val="-5"/>
                <w:sz w:val="18"/>
                <w:szCs w:val="18"/>
              </w:rPr>
              <w:t>二级指标</w:t>
            </w:r>
          </w:p>
        </w:tc>
        <w:tc>
          <w:tcPr>
            <w:tcW w:w="5304" w:type="dxa"/>
            <w:tcBorders>
              <w:top w:val="single" w:color="auto" w:sz="4" w:space="0"/>
            </w:tcBorders>
            <w:vAlign w:val="center"/>
          </w:tcPr>
          <w:p w14:paraId="6FB3C855">
            <w:pPr>
              <w:widowControl w:val="0"/>
              <w:spacing w:line="240" w:lineRule="exact"/>
              <w:ind w:firstLine="0" w:firstLineChars="0"/>
              <w:jc w:val="center"/>
              <w:rPr>
                <w:rFonts w:ascii="宋体" w:hAnsi="宋体" w:eastAsiaTheme="minorEastAsia" w:cstheme="minorEastAsia"/>
                <w:b/>
                <w:bCs/>
                <w:sz w:val="18"/>
                <w:szCs w:val="18"/>
              </w:rPr>
            </w:pPr>
            <w:r>
              <w:rPr>
                <w:rFonts w:hint="eastAsia" w:ascii="宋体" w:hAnsi="宋体" w:eastAsiaTheme="minorEastAsia" w:cstheme="minorEastAsia"/>
                <w:b/>
                <w:bCs/>
                <w:spacing w:val="-6"/>
                <w:sz w:val="18"/>
                <w:szCs w:val="18"/>
              </w:rPr>
              <w:t>三级指标</w:t>
            </w:r>
          </w:p>
        </w:tc>
      </w:tr>
      <w:tr w14:paraId="1BB9B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restart"/>
            <w:tcBorders>
              <w:top w:val="single" w:color="auto" w:sz="4" w:space="0"/>
              <w:left w:val="single" w:color="auto" w:sz="4" w:space="0"/>
            </w:tcBorders>
            <w:vAlign w:val="center"/>
          </w:tcPr>
          <w:p w14:paraId="76D1F000">
            <w:pPr>
              <w:widowControl w:val="0"/>
              <w:spacing w:line="240" w:lineRule="exact"/>
              <w:ind w:firstLine="0" w:firstLineChars="0"/>
              <w:jc w:val="center"/>
              <w:rPr>
                <w:rFonts w:ascii="宋体" w:hAnsi="宋体" w:eastAsiaTheme="minorEastAsia" w:cstheme="minorEastAsia"/>
                <w:b/>
                <w:bCs/>
                <w:sz w:val="18"/>
                <w:szCs w:val="18"/>
              </w:rPr>
            </w:pPr>
            <w:r>
              <w:rPr>
                <w:rFonts w:hint="eastAsia" w:ascii="宋体" w:hAnsi="宋体" w:eastAsiaTheme="minorEastAsia" w:cstheme="minorEastAsia"/>
                <w:b w:val="0"/>
                <w:bCs w:val="0"/>
                <w:spacing w:val="2"/>
                <w:sz w:val="18"/>
                <w:szCs w:val="18"/>
              </w:rPr>
              <w:t>决策</w:t>
            </w:r>
          </w:p>
        </w:tc>
        <w:tc>
          <w:tcPr>
            <w:tcW w:w="2100" w:type="dxa"/>
            <w:vMerge w:val="restart"/>
            <w:tcBorders>
              <w:top w:val="single" w:color="auto" w:sz="4" w:space="0"/>
              <w:bottom w:val="single" w:color="auto" w:sz="4" w:space="0"/>
              <w:right w:val="single" w:color="auto" w:sz="4" w:space="0"/>
            </w:tcBorders>
            <w:vAlign w:val="center"/>
          </w:tcPr>
          <w:p w14:paraId="3D769867">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ascii="宋体" w:hAnsi="宋体" w:eastAsiaTheme="minorEastAsia" w:cstheme="minorEastAsia"/>
                <w:sz w:val="18"/>
                <w:szCs w:val="18"/>
              </w:rPr>
            </w:pPr>
            <w:r>
              <w:rPr>
                <w:rFonts w:hint="eastAsia" w:ascii="宋体" w:hAnsi="宋体" w:eastAsiaTheme="minorEastAsia" w:cstheme="minorEastAsia"/>
                <w:spacing w:val="7"/>
                <w:sz w:val="18"/>
                <w:szCs w:val="18"/>
              </w:rPr>
              <w:t>项目立</w:t>
            </w:r>
            <w:r>
              <w:rPr>
                <w:rFonts w:hint="eastAsia" w:ascii="宋体" w:hAnsi="宋体" w:eastAsiaTheme="minorEastAsia" w:cstheme="minorEastAsia"/>
                <w:spacing w:val="6"/>
                <w:sz w:val="18"/>
                <w:szCs w:val="18"/>
              </w:rPr>
              <w:t>项</w:t>
            </w:r>
          </w:p>
        </w:tc>
        <w:tc>
          <w:tcPr>
            <w:tcW w:w="5304" w:type="dxa"/>
            <w:tcBorders>
              <w:left w:val="single" w:color="auto" w:sz="4" w:space="0"/>
            </w:tcBorders>
            <w:vAlign w:val="center"/>
          </w:tcPr>
          <w:p w14:paraId="09971BB3">
            <w:pPr>
              <w:widowControl w:val="0"/>
              <w:spacing w:line="240" w:lineRule="exact"/>
              <w:ind w:left="300" w:leftChars="100" w:firstLine="0" w:firstLineChars="0"/>
              <w:jc w:val="center"/>
              <w:rPr>
                <w:rFonts w:ascii="宋体" w:hAnsi="宋体" w:eastAsiaTheme="minorEastAsia" w:cstheme="minorEastAsia"/>
                <w:sz w:val="18"/>
                <w:szCs w:val="18"/>
              </w:rPr>
            </w:pPr>
            <w:r>
              <w:rPr>
                <w:rFonts w:hint="eastAsia" w:ascii="宋体" w:hAnsi="宋体" w:eastAsiaTheme="minorEastAsia" w:cstheme="minorEastAsia"/>
                <w:spacing w:val="8"/>
                <w:sz w:val="18"/>
                <w:szCs w:val="18"/>
              </w:rPr>
              <w:t>立</w:t>
            </w:r>
            <w:r>
              <w:rPr>
                <w:rFonts w:hint="eastAsia" w:ascii="宋体" w:hAnsi="宋体" w:eastAsiaTheme="minorEastAsia" w:cstheme="minorEastAsia"/>
                <w:spacing w:val="7"/>
                <w:sz w:val="18"/>
                <w:szCs w:val="18"/>
              </w:rPr>
              <w:t>项依据充分性</w:t>
            </w:r>
          </w:p>
        </w:tc>
      </w:tr>
      <w:tr w14:paraId="3D911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continue"/>
            <w:tcBorders>
              <w:left w:val="single" w:color="auto" w:sz="4" w:space="0"/>
            </w:tcBorders>
            <w:vAlign w:val="center"/>
          </w:tcPr>
          <w:p w14:paraId="4B1C596A">
            <w:pPr>
              <w:widowControl w:val="0"/>
              <w:spacing w:line="240" w:lineRule="exact"/>
              <w:ind w:firstLine="0" w:firstLineChars="0"/>
              <w:jc w:val="center"/>
              <w:rPr>
                <w:rFonts w:ascii="宋体" w:hAnsi="宋体" w:eastAsiaTheme="minorEastAsia" w:cstheme="minorEastAsia"/>
                <w:b/>
                <w:bCs/>
                <w:sz w:val="18"/>
                <w:szCs w:val="18"/>
              </w:rPr>
            </w:pPr>
          </w:p>
        </w:tc>
        <w:tc>
          <w:tcPr>
            <w:tcW w:w="2100" w:type="dxa"/>
            <w:vMerge w:val="continue"/>
            <w:tcBorders>
              <w:top w:val="single" w:color="auto" w:sz="4" w:space="0"/>
              <w:bottom w:val="single" w:color="auto" w:sz="4" w:space="0"/>
              <w:right w:val="single" w:color="auto" w:sz="4" w:space="0"/>
            </w:tcBorders>
            <w:vAlign w:val="center"/>
          </w:tcPr>
          <w:p w14:paraId="45A159A1">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ascii="宋体" w:hAnsi="宋体" w:eastAsiaTheme="minorEastAsia" w:cstheme="minorEastAsia"/>
                <w:sz w:val="18"/>
                <w:szCs w:val="18"/>
              </w:rPr>
            </w:pPr>
          </w:p>
        </w:tc>
        <w:tc>
          <w:tcPr>
            <w:tcW w:w="5304" w:type="dxa"/>
            <w:tcBorders>
              <w:left w:val="single" w:color="auto" w:sz="4" w:space="0"/>
            </w:tcBorders>
            <w:vAlign w:val="center"/>
          </w:tcPr>
          <w:p w14:paraId="1251DE4D">
            <w:pPr>
              <w:widowControl w:val="0"/>
              <w:spacing w:line="240" w:lineRule="exact"/>
              <w:ind w:left="300" w:leftChars="100" w:firstLine="0" w:firstLineChars="0"/>
              <w:jc w:val="center"/>
              <w:rPr>
                <w:rFonts w:ascii="宋体" w:hAnsi="宋体" w:eastAsiaTheme="minorEastAsia" w:cstheme="minorEastAsia"/>
                <w:sz w:val="18"/>
                <w:szCs w:val="18"/>
              </w:rPr>
            </w:pPr>
            <w:r>
              <w:rPr>
                <w:rFonts w:hint="eastAsia" w:ascii="宋体" w:hAnsi="宋体" w:eastAsiaTheme="minorEastAsia" w:cstheme="minorEastAsia"/>
                <w:spacing w:val="9"/>
                <w:sz w:val="18"/>
                <w:szCs w:val="18"/>
              </w:rPr>
              <w:t>程</w:t>
            </w:r>
            <w:r>
              <w:rPr>
                <w:rFonts w:hint="eastAsia" w:ascii="宋体" w:hAnsi="宋体" w:eastAsiaTheme="minorEastAsia" w:cstheme="minorEastAsia"/>
                <w:spacing w:val="7"/>
                <w:sz w:val="18"/>
                <w:szCs w:val="18"/>
              </w:rPr>
              <w:t>序规范性</w:t>
            </w:r>
          </w:p>
        </w:tc>
      </w:tr>
      <w:tr w14:paraId="2777A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continue"/>
            <w:tcBorders>
              <w:left w:val="single" w:color="auto" w:sz="4" w:space="0"/>
            </w:tcBorders>
            <w:vAlign w:val="center"/>
          </w:tcPr>
          <w:p w14:paraId="2D9DB6F4">
            <w:pPr>
              <w:widowControl w:val="0"/>
              <w:spacing w:line="240" w:lineRule="exact"/>
              <w:ind w:firstLine="0" w:firstLineChars="0"/>
              <w:jc w:val="center"/>
              <w:rPr>
                <w:rFonts w:ascii="宋体" w:hAnsi="宋体" w:eastAsiaTheme="minorEastAsia" w:cstheme="minorEastAsia"/>
                <w:b/>
                <w:bCs/>
                <w:sz w:val="18"/>
                <w:szCs w:val="18"/>
              </w:rPr>
            </w:pPr>
          </w:p>
        </w:tc>
        <w:tc>
          <w:tcPr>
            <w:tcW w:w="2100" w:type="dxa"/>
            <w:vMerge w:val="restart"/>
            <w:tcBorders>
              <w:top w:val="single" w:color="auto" w:sz="4" w:space="0"/>
              <w:bottom w:val="single" w:color="auto" w:sz="4" w:space="0"/>
            </w:tcBorders>
            <w:vAlign w:val="top"/>
          </w:tcPr>
          <w:p w14:paraId="3A1A51B8">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ascii="宋体" w:hAnsi="宋体" w:eastAsiaTheme="minorEastAsia" w:cstheme="minorEastAsia"/>
                <w:sz w:val="18"/>
                <w:szCs w:val="18"/>
              </w:rPr>
            </w:pPr>
          </w:p>
          <w:p w14:paraId="65FAA49D">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ascii="宋体" w:hAnsi="宋体" w:eastAsiaTheme="minorEastAsia" w:cstheme="minorEastAsia"/>
                <w:sz w:val="18"/>
                <w:szCs w:val="18"/>
              </w:rPr>
            </w:pPr>
            <w:r>
              <w:rPr>
                <w:rFonts w:hint="eastAsia" w:ascii="宋体" w:hAnsi="宋体" w:eastAsiaTheme="minorEastAsia" w:cstheme="minorEastAsia"/>
                <w:spacing w:val="6"/>
                <w:sz w:val="18"/>
                <w:szCs w:val="18"/>
              </w:rPr>
              <w:t>绩效目</w:t>
            </w:r>
            <w:r>
              <w:rPr>
                <w:rFonts w:hint="eastAsia" w:ascii="宋体" w:hAnsi="宋体" w:eastAsiaTheme="minorEastAsia" w:cstheme="minorEastAsia"/>
                <w:spacing w:val="5"/>
                <w:sz w:val="18"/>
                <w:szCs w:val="18"/>
              </w:rPr>
              <w:t>标</w:t>
            </w:r>
          </w:p>
        </w:tc>
        <w:tc>
          <w:tcPr>
            <w:tcW w:w="5304" w:type="dxa"/>
            <w:vAlign w:val="center"/>
          </w:tcPr>
          <w:p w14:paraId="6C6F2BC3">
            <w:pPr>
              <w:widowControl w:val="0"/>
              <w:spacing w:line="240" w:lineRule="exact"/>
              <w:ind w:left="300" w:leftChars="100" w:firstLine="0" w:firstLineChars="0"/>
              <w:jc w:val="center"/>
              <w:rPr>
                <w:rFonts w:ascii="宋体" w:hAnsi="宋体" w:eastAsiaTheme="minorEastAsia" w:cstheme="minorEastAsia"/>
                <w:sz w:val="18"/>
                <w:szCs w:val="18"/>
              </w:rPr>
            </w:pPr>
            <w:r>
              <w:rPr>
                <w:rFonts w:hint="eastAsia" w:ascii="宋体" w:hAnsi="宋体" w:eastAsiaTheme="minorEastAsia" w:cstheme="minorEastAsia"/>
                <w:spacing w:val="11"/>
                <w:sz w:val="18"/>
                <w:szCs w:val="18"/>
              </w:rPr>
              <w:t>绩</w:t>
            </w:r>
            <w:r>
              <w:rPr>
                <w:rFonts w:hint="eastAsia" w:ascii="宋体" w:hAnsi="宋体" w:eastAsiaTheme="minorEastAsia" w:cstheme="minorEastAsia"/>
                <w:spacing w:val="7"/>
                <w:sz w:val="18"/>
                <w:szCs w:val="18"/>
              </w:rPr>
              <w:t>效目标合理性</w:t>
            </w:r>
          </w:p>
        </w:tc>
      </w:tr>
      <w:tr w14:paraId="7B2F5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continue"/>
            <w:tcBorders>
              <w:left w:val="single" w:color="auto" w:sz="4" w:space="0"/>
            </w:tcBorders>
            <w:vAlign w:val="center"/>
          </w:tcPr>
          <w:p w14:paraId="11B7FC85">
            <w:pPr>
              <w:widowControl w:val="0"/>
              <w:spacing w:line="240" w:lineRule="exact"/>
              <w:ind w:firstLine="0" w:firstLineChars="0"/>
              <w:jc w:val="center"/>
              <w:rPr>
                <w:rFonts w:ascii="宋体" w:hAnsi="宋体" w:eastAsiaTheme="minorEastAsia" w:cstheme="minorEastAsia"/>
                <w:b/>
                <w:bCs/>
                <w:sz w:val="18"/>
                <w:szCs w:val="18"/>
              </w:rPr>
            </w:pPr>
          </w:p>
        </w:tc>
        <w:tc>
          <w:tcPr>
            <w:tcW w:w="2100" w:type="dxa"/>
            <w:vMerge w:val="continue"/>
            <w:tcBorders>
              <w:top w:val="single" w:color="auto" w:sz="4" w:space="0"/>
              <w:bottom w:val="single" w:color="auto" w:sz="4" w:space="0"/>
            </w:tcBorders>
            <w:vAlign w:val="center"/>
          </w:tcPr>
          <w:p w14:paraId="2D03E637">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ascii="宋体" w:hAnsi="宋体" w:eastAsiaTheme="minorEastAsia" w:cstheme="minorEastAsia"/>
                <w:sz w:val="18"/>
                <w:szCs w:val="18"/>
              </w:rPr>
            </w:pPr>
          </w:p>
        </w:tc>
        <w:tc>
          <w:tcPr>
            <w:tcW w:w="5304" w:type="dxa"/>
            <w:vAlign w:val="center"/>
          </w:tcPr>
          <w:p w14:paraId="499B26A3">
            <w:pPr>
              <w:widowControl w:val="0"/>
              <w:spacing w:line="240" w:lineRule="exact"/>
              <w:ind w:left="300" w:leftChars="100" w:firstLine="0" w:firstLineChars="0"/>
              <w:jc w:val="center"/>
              <w:rPr>
                <w:rFonts w:ascii="宋体" w:hAnsi="宋体" w:eastAsiaTheme="minorEastAsia" w:cstheme="minorEastAsia"/>
                <w:sz w:val="18"/>
                <w:szCs w:val="18"/>
              </w:rPr>
            </w:pPr>
            <w:r>
              <w:rPr>
                <w:rFonts w:hint="eastAsia" w:ascii="宋体" w:hAnsi="宋体" w:eastAsiaTheme="minorEastAsia" w:cstheme="minorEastAsia"/>
                <w:spacing w:val="11"/>
                <w:sz w:val="18"/>
                <w:szCs w:val="18"/>
              </w:rPr>
              <w:t>绩</w:t>
            </w:r>
            <w:r>
              <w:rPr>
                <w:rFonts w:hint="eastAsia" w:ascii="宋体" w:hAnsi="宋体" w:eastAsiaTheme="minorEastAsia" w:cstheme="minorEastAsia"/>
                <w:spacing w:val="7"/>
                <w:sz w:val="18"/>
                <w:szCs w:val="18"/>
              </w:rPr>
              <w:t>效指标明确性</w:t>
            </w:r>
          </w:p>
        </w:tc>
      </w:tr>
      <w:tr w14:paraId="7F25A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continue"/>
            <w:tcBorders>
              <w:left w:val="single" w:color="auto" w:sz="4" w:space="0"/>
            </w:tcBorders>
            <w:vAlign w:val="center"/>
          </w:tcPr>
          <w:p w14:paraId="50E2ECC4">
            <w:pPr>
              <w:widowControl w:val="0"/>
              <w:spacing w:line="240" w:lineRule="exact"/>
              <w:ind w:firstLine="0" w:firstLineChars="0"/>
              <w:jc w:val="center"/>
              <w:rPr>
                <w:rFonts w:ascii="宋体" w:hAnsi="宋体" w:eastAsiaTheme="minorEastAsia" w:cstheme="minorEastAsia"/>
                <w:b/>
                <w:bCs/>
                <w:sz w:val="18"/>
                <w:szCs w:val="18"/>
              </w:rPr>
            </w:pPr>
          </w:p>
        </w:tc>
        <w:tc>
          <w:tcPr>
            <w:tcW w:w="2100" w:type="dxa"/>
            <w:vMerge w:val="restart"/>
            <w:tcBorders>
              <w:top w:val="single" w:color="auto" w:sz="4" w:space="0"/>
              <w:bottom w:val="single" w:color="auto" w:sz="4" w:space="0"/>
            </w:tcBorders>
            <w:vAlign w:val="top"/>
          </w:tcPr>
          <w:p w14:paraId="20186E84">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ascii="宋体" w:hAnsi="宋体" w:eastAsiaTheme="minorEastAsia" w:cstheme="minorEastAsia"/>
                <w:sz w:val="18"/>
                <w:szCs w:val="18"/>
              </w:rPr>
            </w:pPr>
          </w:p>
          <w:p w14:paraId="3B5BABE8">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ascii="宋体" w:hAnsi="宋体" w:eastAsiaTheme="minorEastAsia" w:cstheme="minorEastAsia"/>
                <w:sz w:val="18"/>
                <w:szCs w:val="18"/>
              </w:rPr>
            </w:pPr>
            <w:r>
              <w:rPr>
                <w:rFonts w:hint="eastAsia" w:ascii="宋体" w:hAnsi="宋体" w:eastAsiaTheme="minorEastAsia" w:cstheme="minorEastAsia"/>
                <w:spacing w:val="5"/>
                <w:sz w:val="18"/>
                <w:szCs w:val="18"/>
              </w:rPr>
              <w:t>资金分配</w:t>
            </w:r>
          </w:p>
        </w:tc>
        <w:tc>
          <w:tcPr>
            <w:tcW w:w="5304" w:type="dxa"/>
            <w:vAlign w:val="center"/>
          </w:tcPr>
          <w:p w14:paraId="5E1E5484">
            <w:pPr>
              <w:widowControl w:val="0"/>
              <w:spacing w:line="240" w:lineRule="exact"/>
              <w:ind w:left="300" w:leftChars="100" w:firstLine="0" w:firstLineChars="0"/>
              <w:jc w:val="center"/>
              <w:rPr>
                <w:rFonts w:ascii="宋体" w:hAnsi="宋体" w:eastAsiaTheme="minorEastAsia" w:cstheme="minorEastAsia"/>
                <w:sz w:val="18"/>
                <w:szCs w:val="18"/>
              </w:rPr>
            </w:pPr>
            <w:r>
              <w:rPr>
                <w:rFonts w:hint="eastAsia" w:ascii="宋体" w:hAnsi="宋体" w:eastAsiaTheme="minorEastAsia" w:cstheme="minorEastAsia"/>
                <w:spacing w:val="8"/>
                <w:sz w:val="18"/>
                <w:szCs w:val="18"/>
              </w:rPr>
              <w:t>平衡方案科学性</w:t>
            </w:r>
          </w:p>
        </w:tc>
      </w:tr>
      <w:tr w14:paraId="4D46B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continue"/>
            <w:tcBorders>
              <w:left w:val="single" w:color="auto" w:sz="4" w:space="0"/>
              <w:bottom w:val="single" w:color="auto" w:sz="4" w:space="0"/>
            </w:tcBorders>
            <w:vAlign w:val="center"/>
          </w:tcPr>
          <w:p w14:paraId="36EFA7F5">
            <w:pPr>
              <w:widowControl w:val="0"/>
              <w:spacing w:line="240" w:lineRule="exact"/>
              <w:ind w:firstLine="0" w:firstLineChars="0"/>
              <w:jc w:val="center"/>
              <w:rPr>
                <w:rFonts w:ascii="宋体" w:hAnsi="宋体" w:eastAsiaTheme="minorEastAsia" w:cstheme="minorEastAsia"/>
                <w:b/>
                <w:bCs/>
                <w:sz w:val="18"/>
                <w:szCs w:val="18"/>
              </w:rPr>
            </w:pPr>
          </w:p>
        </w:tc>
        <w:tc>
          <w:tcPr>
            <w:tcW w:w="2100" w:type="dxa"/>
            <w:vMerge w:val="continue"/>
            <w:tcBorders>
              <w:top w:val="single" w:color="auto" w:sz="4" w:space="0"/>
              <w:bottom w:val="single" w:color="auto" w:sz="4" w:space="0"/>
            </w:tcBorders>
            <w:vAlign w:val="center"/>
          </w:tcPr>
          <w:p w14:paraId="4F2205F9">
            <w:pPr>
              <w:widowControl w:val="0"/>
              <w:spacing w:line="240" w:lineRule="exact"/>
              <w:ind w:firstLine="0" w:firstLineChars="0"/>
              <w:jc w:val="center"/>
              <w:rPr>
                <w:rFonts w:ascii="宋体" w:hAnsi="宋体" w:eastAsiaTheme="minorEastAsia" w:cstheme="minorEastAsia"/>
                <w:sz w:val="18"/>
                <w:szCs w:val="18"/>
              </w:rPr>
            </w:pPr>
          </w:p>
        </w:tc>
        <w:tc>
          <w:tcPr>
            <w:tcW w:w="5304" w:type="dxa"/>
            <w:tcBorders>
              <w:bottom w:val="single" w:color="auto" w:sz="4" w:space="0"/>
            </w:tcBorders>
            <w:vAlign w:val="center"/>
          </w:tcPr>
          <w:p w14:paraId="771DCD16">
            <w:pPr>
              <w:widowControl w:val="0"/>
              <w:spacing w:line="240" w:lineRule="exact"/>
              <w:ind w:left="300" w:leftChars="100" w:firstLine="0" w:firstLineChars="0"/>
              <w:jc w:val="center"/>
              <w:rPr>
                <w:rFonts w:ascii="宋体" w:hAnsi="宋体" w:eastAsiaTheme="minorEastAsia" w:cstheme="minorEastAsia"/>
                <w:sz w:val="18"/>
                <w:szCs w:val="18"/>
              </w:rPr>
            </w:pPr>
            <w:r>
              <w:rPr>
                <w:rFonts w:hint="eastAsia" w:ascii="宋体" w:hAnsi="宋体" w:eastAsiaTheme="minorEastAsia" w:cstheme="minorEastAsia"/>
                <w:spacing w:val="11"/>
                <w:sz w:val="18"/>
                <w:szCs w:val="18"/>
              </w:rPr>
              <w:t>资</w:t>
            </w:r>
            <w:r>
              <w:rPr>
                <w:rFonts w:hint="eastAsia" w:ascii="宋体" w:hAnsi="宋体" w:eastAsiaTheme="minorEastAsia" w:cstheme="minorEastAsia"/>
                <w:spacing w:val="7"/>
                <w:sz w:val="18"/>
                <w:szCs w:val="18"/>
              </w:rPr>
              <w:t>金分配的合理性</w:t>
            </w:r>
          </w:p>
        </w:tc>
      </w:tr>
      <w:tr w14:paraId="0FC9A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restart"/>
            <w:tcBorders>
              <w:top w:val="single" w:color="auto" w:sz="4" w:space="0"/>
              <w:left w:val="single" w:color="auto" w:sz="4" w:space="0"/>
              <w:bottom w:val="single" w:color="auto" w:sz="4" w:space="0"/>
              <w:right w:val="single" w:color="auto" w:sz="4" w:space="0"/>
            </w:tcBorders>
            <w:vAlign w:val="center"/>
          </w:tcPr>
          <w:p w14:paraId="7E8A12BF">
            <w:pPr>
              <w:widowControl w:val="0"/>
              <w:spacing w:line="240" w:lineRule="exact"/>
              <w:ind w:firstLine="0" w:firstLineChars="0"/>
              <w:jc w:val="center"/>
              <w:rPr>
                <w:rFonts w:ascii="宋体" w:hAnsi="宋体" w:eastAsiaTheme="minorEastAsia" w:cstheme="minorEastAsia"/>
                <w:b w:val="0"/>
                <w:bCs w:val="0"/>
                <w:sz w:val="18"/>
                <w:szCs w:val="18"/>
              </w:rPr>
            </w:pPr>
            <w:r>
              <w:rPr>
                <w:rFonts w:hint="eastAsia" w:ascii="宋体" w:hAnsi="宋体" w:eastAsiaTheme="minorEastAsia" w:cstheme="minorEastAsia"/>
                <w:b w:val="0"/>
                <w:bCs w:val="0"/>
                <w:spacing w:val="2"/>
                <w:sz w:val="18"/>
                <w:szCs w:val="18"/>
              </w:rPr>
              <w:t>过程</w:t>
            </w:r>
          </w:p>
        </w:tc>
        <w:tc>
          <w:tcPr>
            <w:tcW w:w="2100" w:type="dxa"/>
            <w:vMerge w:val="restart"/>
            <w:tcBorders>
              <w:top w:val="single" w:color="auto" w:sz="4" w:space="0"/>
              <w:left w:val="single" w:color="auto" w:sz="4" w:space="0"/>
              <w:bottom w:val="single" w:color="auto" w:sz="4" w:space="0"/>
              <w:right w:val="single" w:color="auto" w:sz="4" w:space="0"/>
            </w:tcBorders>
            <w:vAlign w:val="center"/>
          </w:tcPr>
          <w:p w14:paraId="69418BD9">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center"/>
              <w:rPr>
                <w:rFonts w:ascii="宋体" w:hAnsi="宋体" w:eastAsiaTheme="minorEastAsia" w:cstheme="minorEastAsia"/>
                <w:sz w:val="18"/>
                <w:szCs w:val="18"/>
              </w:rPr>
            </w:pPr>
            <w:r>
              <w:rPr>
                <w:rFonts w:hint="eastAsia" w:ascii="宋体" w:hAnsi="宋体" w:eastAsiaTheme="minorEastAsia" w:cstheme="minorEastAsia"/>
                <w:spacing w:val="10"/>
                <w:sz w:val="18"/>
                <w:szCs w:val="18"/>
              </w:rPr>
              <w:t>资</w:t>
            </w:r>
            <w:r>
              <w:rPr>
                <w:rFonts w:hint="eastAsia" w:ascii="宋体" w:hAnsi="宋体" w:eastAsiaTheme="minorEastAsia" w:cstheme="minorEastAsia"/>
                <w:spacing w:val="6"/>
                <w:sz w:val="18"/>
                <w:szCs w:val="18"/>
              </w:rPr>
              <w:t>金使用情况</w:t>
            </w:r>
          </w:p>
        </w:tc>
        <w:tc>
          <w:tcPr>
            <w:tcW w:w="5304" w:type="dxa"/>
            <w:tcBorders>
              <w:top w:val="single" w:color="auto" w:sz="4" w:space="0"/>
              <w:left w:val="single" w:color="auto" w:sz="4" w:space="0"/>
              <w:bottom w:val="single" w:color="auto" w:sz="4" w:space="0"/>
              <w:right w:val="single" w:color="auto" w:sz="4" w:space="0"/>
            </w:tcBorders>
            <w:vAlign w:val="center"/>
          </w:tcPr>
          <w:p w14:paraId="1F1F615D">
            <w:pPr>
              <w:keepNext w:val="0"/>
              <w:keepLines w:val="0"/>
              <w:pageBreakBefore w:val="0"/>
              <w:widowControl w:val="0"/>
              <w:kinsoku w:val="0"/>
              <w:wordWrap/>
              <w:overflowPunct/>
              <w:topLinePunct w:val="0"/>
              <w:autoSpaceDE w:val="0"/>
              <w:autoSpaceDN w:val="0"/>
              <w:bidi w:val="0"/>
              <w:adjustRightInd w:val="0"/>
              <w:snapToGrid w:val="0"/>
              <w:spacing w:line="240" w:lineRule="auto"/>
              <w:ind w:left="300" w:leftChars="100" w:firstLine="0" w:firstLineChars="0"/>
              <w:jc w:val="center"/>
              <w:rPr>
                <w:rFonts w:ascii="宋体" w:hAnsi="宋体" w:eastAsiaTheme="minorEastAsia" w:cstheme="minorEastAsia"/>
                <w:sz w:val="18"/>
                <w:szCs w:val="18"/>
              </w:rPr>
            </w:pPr>
            <w:r>
              <w:rPr>
                <w:rFonts w:hint="eastAsia" w:ascii="宋体" w:hAnsi="宋体" w:eastAsiaTheme="minorEastAsia" w:cstheme="minorEastAsia"/>
                <w:spacing w:val="6"/>
                <w:sz w:val="18"/>
                <w:szCs w:val="18"/>
              </w:rPr>
              <w:t>资金到位率</w:t>
            </w:r>
          </w:p>
        </w:tc>
      </w:tr>
      <w:tr w14:paraId="1C3E4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continue"/>
            <w:tcBorders>
              <w:top w:val="single" w:color="auto" w:sz="4" w:space="0"/>
              <w:left w:val="single" w:color="auto" w:sz="4" w:space="0"/>
              <w:bottom w:val="single" w:color="auto" w:sz="4" w:space="0"/>
              <w:right w:val="single" w:color="auto" w:sz="4" w:space="0"/>
            </w:tcBorders>
            <w:vAlign w:val="center"/>
          </w:tcPr>
          <w:p w14:paraId="292DC1D9">
            <w:pPr>
              <w:widowControl w:val="0"/>
              <w:spacing w:line="240" w:lineRule="exact"/>
              <w:ind w:firstLine="0" w:firstLineChars="0"/>
              <w:jc w:val="center"/>
              <w:rPr>
                <w:rFonts w:ascii="宋体" w:hAnsi="宋体" w:eastAsiaTheme="minorEastAsia" w:cstheme="minorEastAsia"/>
                <w:b w:val="0"/>
                <w:bCs w:val="0"/>
                <w:sz w:val="18"/>
                <w:szCs w:val="18"/>
              </w:rPr>
            </w:pPr>
          </w:p>
        </w:tc>
        <w:tc>
          <w:tcPr>
            <w:tcW w:w="2100" w:type="dxa"/>
            <w:vMerge w:val="continue"/>
            <w:tcBorders>
              <w:top w:val="single" w:color="auto" w:sz="4" w:space="0"/>
              <w:left w:val="single" w:color="auto" w:sz="4" w:space="0"/>
              <w:bottom w:val="single" w:color="auto" w:sz="4" w:space="0"/>
              <w:right w:val="single" w:color="auto" w:sz="4" w:space="0"/>
            </w:tcBorders>
            <w:vAlign w:val="center"/>
          </w:tcPr>
          <w:p w14:paraId="64E0BFB0">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center"/>
              <w:rPr>
                <w:rFonts w:ascii="宋体" w:hAnsi="宋体" w:eastAsiaTheme="minorEastAsia" w:cstheme="minorEastAsia"/>
                <w:sz w:val="18"/>
                <w:szCs w:val="18"/>
              </w:rPr>
            </w:pPr>
          </w:p>
        </w:tc>
        <w:tc>
          <w:tcPr>
            <w:tcW w:w="5304" w:type="dxa"/>
            <w:tcBorders>
              <w:top w:val="single" w:color="auto" w:sz="4" w:space="0"/>
              <w:left w:val="single" w:color="auto" w:sz="4" w:space="0"/>
              <w:bottom w:val="single" w:color="auto" w:sz="4" w:space="0"/>
              <w:right w:val="single" w:color="auto" w:sz="4" w:space="0"/>
            </w:tcBorders>
            <w:vAlign w:val="center"/>
          </w:tcPr>
          <w:p w14:paraId="5545C354">
            <w:pPr>
              <w:keepNext w:val="0"/>
              <w:keepLines w:val="0"/>
              <w:pageBreakBefore w:val="0"/>
              <w:widowControl w:val="0"/>
              <w:kinsoku w:val="0"/>
              <w:wordWrap/>
              <w:overflowPunct/>
              <w:topLinePunct w:val="0"/>
              <w:autoSpaceDE w:val="0"/>
              <w:autoSpaceDN w:val="0"/>
              <w:bidi w:val="0"/>
              <w:adjustRightInd w:val="0"/>
              <w:snapToGrid w:val="0"/>
              <w:spacing w:line="240" w:lineRule="auto"/>
              <w:ind w:left="300" w:leftChars="100" w:firstLine="0" w:firstLineChars="0"/>
              <w:jc w:val="center"/>
              <w:rPr>
                <w:rFonts w:ascii="宋体" w:hAnsi="宋体" w:eastAsiaTheme="minorEastAsia" w:cstheme="minorEastAsia"/>
                <w:sz w:val="18"/>
                <w:szCs w:val="18"/>
              </w:rPr>
            </w:pPr>
            <w:r>
              <w:rPr>
                <w:rFonts w:hint="eastAsia" w:ascii="宋体" w:hAnsi="宋体" w:eastAsiaTheme="minorEastAsia" w:cstheme="minorEastAsia"/>
                <w:spacing w:val="6"/>
                <w:sz w:val="18"/>
                <w:szCs w:val="18"/>
              </w:rPr>
              <w:t>预算执行率</w:t>
            </w:r>
          </w:p>
        </w:tc>
      </w:tr>
      <w:tr w14:paraId="7F9E7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continue"/>
            <w:tcBorders>
              <w:top w:val="single" w:color="auto" w:sz="4" w:space="0"/>
              <w:left w:val="single" w:color="auto" w:sz="4" w:space="0"/>
              <w:bottom w:val="single" w:color="auto" w:sz="4" w:space="0"/>
              <w:right w:val="single" w:color="auto" w:sz="4" w:space="0"/>
            </w:tcBorders>
            <w:vAlign w:val="center"/>
          </w:tcPr>
          <w:p w14:paraId="10F3ABE8">
            <w:pPr>
              <w:widowControl w:val="0"/>
              <w:spacing w:line="240" w:lineRule="exact"/>
              <w:ind w:firstLine="0" w:firstLineChars="0"/>
              <w:jc w:val="center"/>
              <w:rPr>
                <w:rFonts w:ascii="宋体" w:hAnsi="宋体" w:eastAsiaTheme="minorEastAsia" w:cstheme="minorEastAsia"/>
                <w:b w:val="0"/>
                <w:bCs w:val="0"/>
                <w:sz w:val="18"/>
                <w:szCs w:val="18"/>
              </w:rPr>
            </w:pPr>
          </w:p>
        </w:tc>
        <w:tc>
          <w:tcPr>
            <w:tcW w:w="2100" w:type="dxa"/>
            <w:vMerge w:val="continue"/>
            <w:tcBorders>
              <w:top w:val="single" w:color="auto" w:sz="4" w:space="0"/>
              <w:left w:val="single" w:color="auto" w:sz="4" w:space="0"/>
              <w:bottom w:val="single" w:color="auto" w:sz="4" w:space="0"/>
              <w:right w:val="single" w:color="auto" w:sz="4" w:space="0"/>
            </w:tcBorders>
            <w:vAlign w:val="center"/>
          </w:tcPr>
          <w:p w14:paraId="224B1EE0">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center"/>
              <w:rPr>
                <w:rFonts w:ascii="宋体" w:hAnsi="宋体" w:eastAsiaTheme="minorEastAsia" w:cstheme="minorEastAsia"/>
                <w:sz w:val="18"/>
                <w:szCs w:val="18"/>
              </w:rPr>
            </w:pPr>
          </w:p>
        </w:tc>
        <w:tc>
          <w:tcPr>
            <w:tcW w:w="5304" w:type="dxa"/>
            <w:tcBorders>
              <w:top w:val="single" w:color="auto" w:sz="4" w:space="0"/>
              <w:left w:val="single" w:color="auto" w:sz="4" w:space="0"/>
              <w:bottom w:val="single" w:color="auto" w:sz="4" w:space="0"/>
              <w:right w:val="single" w:color="auto" w:sz="4" w:space="0"/>
            </w:tcBorders>
            <w:vAlign w:val="center"/>
          </w:tcPr>
          <w:p w14:paraId="3795E5C4">
            <w:pPr>
              <w:keepNext w:val="0"/>
              <w:keepLines w:val="0"/>
              <w:pageBreakBefore w:val="0"/>
              <w:widowControl w:val="0"/>
              <w:kinsoku w:val="0"/>
              <w:wordWrap/>
              <w:overflowPunct/>
              <w:topLinePunct w:val="0"/>
              <w:autoSpaceDE w:val="0"/>
              <w:autoSpaceDN w:val="0"/>
              <w:bidi w:val="0"/>
              <w:adjustRightInd w:val="0"/>
              <w:snapToGrid w:val="0"/>
              <w:spacing w:line="240" w:lineRule="auto"/>
              <w:ind w:left="300" w:leftChars="100" w:firstLine="0" w:firstLineChars="0"/>
              <w:jc w:val="center"/>
              <w:rPr>
                <w:rFonts w:ascii="宋体" w:hAnsi="宋体" w:eastAsiaTheme="minorEastAsia" w:cstheme="minorEastAsia"/>
                <w:sz w:val="18"/>
                <w:szCs w:val="18"/>
              </w:rPr>
            </w:pPr>
            <w:r>
              <w:rPr>
                <w:rFonts w:hint="eastAsia" w:ascii="宋体" w:hAnsi="宋体" w:eastAsiaTheme="minorEastAsia" w:cstheme="minorEastAsia"/>
                <w:spacing w:val="8"/>
                <w:sz w:val="18"/>
                <w:szCs w:val="18"/>
              </w:rPr>
              <w:t>资</w:t>
            </w:r>
            <w:r>
              <w:rPr>
                <w:rFonts w:hint="eastAsia" w:ascii="宋体" w:hAnsi="宋体" w:eastAsiaTheme="minorEastAsia" w:cstheme="minorEastAsia"/>
                <w:spacing w:val="7"/>
                <w:sz w:val="18"/>
                <w:szCs w:val="18"/>
              </w:rPr>
              <w:t>金使用合规性</w:t>
            </w:r>
          </w:p>
        </w:tc>
      </w:tr>
      <w:tr w14:paraId="67A0E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continue"/>
            <w:tcBorders>
              <w:top w:val="single" w:color="auto" w:sz="4" w:space="0"/>
              <w:left w:val="single" w:color="auto" w:sz="4" w:space="0"/>
              <w:bottom w:val="single" w:color="auto" w:sz="4" w:space="0"/>
              <w:right w:val="single" w:color="auto" w:sz="4" w:space="0"/>
            </w:tcBorders>
            <w:vAlign w:val="center"/>
          </w:tcPr>
          <w:p w14:paraId="60F78B8E">
            <w:pPr>
              <w:widowControl w:val="0"/>
              <w:spacing w:line="240" w:lineRule="exact"/>
              <w:ind w:firstLine="0" w:firstLineChars="0"/>
              <w:jc w:val="center"/>
              <w:rPr>
                <w:rFonts w:ascii="宋体" w:hAnsi="宋体" w:eastAsiaTheme="minorEastAsia" w:cstheme="minorEastAsia"/>
                <w:b w:val="0"/>
                <w:bCs w:val="0"/>
                <w:sz w:val="18"/>
                <w:szCs w:val="18"/>
              </w:rPr>
            </w:pPr>
          </w:p>
        </w:tc>
        <w:tc>
          <w:tcPr>
            <w:tcW w:w="2100" w:type="dxa"/>
            <w:vMerge w:val="restart"/>
            <w:tcBorders>
              <w:top w:val="single" w:color="auto" w:sz="4" w:space="0"/>
              <w:left w:val="single" w:color="auto" w:sz="4" w:space="0"/>
              <w:bottom w:val="single" w:color="auto" w:sz="4" w:space="0"/>
              <w:right w:val="single" w:color="auto" w:sz="4" w:space="0"/>
            </w:tcBorders>
            <w:vAlign w:val="center"/>
          </w:tcPr>
          <w:p w14:paraId="6CB107A2">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center"/>
              <w:rPr>
                <w:rFonts w:ascii="宋体" w:hAnsi="宋体" w:eastAsiaTheme="minorEastAsia" w:cstheme="minorEastAsia"/>
                <w:sz w:val="18"/>
                <w:szCs w:val="18"/>
              </w:rPr>
            </w:pPr>
            <w:r>
              <w:rPr>
                <w:rFonts w:hint="eastAsia" w:ascii="宋体" w:hAnsi="宋体" w:eastAsiaTheme="minorEastAsia" w:cstheme="minorEastAsia"/>
                <w:spacing w:val="9"/>
                <w:sz w:val="18"/>
                <w:szCs w:val="18"/>
              </w:rPr>
              <w:t>管</w:t>
            </w:r>
            <w:r>
              <w:rPr>
                <w:rFonts w:hint="eastAsia" w:ascii="宋体" w:hAnsi="宋体" w:eastAsiaTheme="minorEastAsia" w:cstheme="minorEastAsia"/>
                <w:spacing w:val="8"/>
                <w:sz w:val="18"/>
                <w:szCs w:val="18"/>
              </w:rPr>
              <w:t>理组织情况</w:t>
            </w:r>
          </w:p>
        </w:tc>
        <w:tc>
          <w:tcPr>
            <w:tcW w:w="5304" w:type="dxa"/>
            <w:tcBorders>
              <w:top w:val="single" w:color="auto" w:sz="4" w:space="0"/>
              <w:left w:val="single" w:color="auto" w:sz="4" w:space="0"/>
              <w:bottom w:val="single" w:color="auto" w:sz="4" w:space="0"/>
              <w:right w:val="single" w:color="auto" w:sz="4" w:space="0"/>
            </w:tcBorders>
            <w:vAlign w:val="center"/>
          </w:tcPr>
          <w:p w14:paraId="58C0F471">
            <w:pPr>
              <w:keepNext w:val="0"/>
              <w:keepLines w:val="0"/>
              <w:pageBreakBefore w:val="0"/>
              <w:widowControl w:val="0"/>
              <w:kinsoku w:val="0"/>
              <w:wordWrap/>
              <w:overflowPunct/>
              <w:topLinePunct w:val="0"/>
              <w:autoSpaceDE w:val="0"/>
              <w:autoSpaceDN w:val="0"/>
              <w:bidi w:val="0"/>
              <w:adjustRightInd w:val="0"/>
              <w:snapToGrid w:val="0"/>
              <w:spacing w:line="240" w:lineRule="auto"/>
              <w:ind w:left="300" w:leftChars="100" w:firstLine="0" w:firstLineChars="0"/>
              <w:jc w:val="center"/>
              <w:rPr>
                <w:rFonts w:ascii="宋体" w:hAnsi="宋体" w:eastAsiaTheme="minorEastAsia" w:cstheme="minorEastAsia"/>
                <w:sz w:val="18"/>
                <w:szCs w:val="18"/>
              </w:rPr>
            </w:pPr>
            <w:r>
              <w:rPr>
                <w:rFonts w:hint="eastAsia" w:ascii="宋体" w:hAnsi="宋体" w:eastAsiaTheme="minorEastAsia" w:cstheme="minorEastAsia"/>
                <w:spacing w:val="11"/>
                <w:sz w:val="18"/>
                <w:szCs w:val="18"/>
              </w:rPr>
              <w:t>管</w:t>
            </w:r>
            <w:r>
              <w:rPr>
                <w:rFonts w:hint="eastAsia" w:ascii="宋体" w:hAnsi="宋体" w:eastAsiaTheme="minorEastAsia" w:cstheme="minorEastAsia"/>
                <w:spacing w:val="8"/>
                <w:sz w:val="18"/>
                <w:szCs w:val="18"/>
              </w:rPr>
              <w:t>理制度健全性</w:t>
            </w:r>
          </w:p>
        </w:tc>
      </w:tr>
      <w:tr w14:paraId="66644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continue"/>
            <w:tcBorders>
              <w:top w:val="single" w:color="auto" w:sz="4" w:space="0"/>
              <w:left w:val="single" w:color="auto" w:sz="4" w:space="0"/>
              <w:bottom w:val="single" w:color="auto" w:sz="4" w:space="0"/>
              <w:right w:val="single" w:color="auto" w:sz="4" w:space="0"/>
            </w:tcBorders>
            <w:vAlign w:val="center"/>
          </w:tcPr>
          <w:p w14:paraId="0404F6F9">
            <w:pPr>
              <w:widowControl w:val="0"/>
              <w:spacing w:line="240" w:lineRule="exact"/>
              <w:ind w:firstLine="0" w:firstLineChars="0"/>
              <w:jc w:val="center"/>
              <w:rPr>
                <w:rFonts w:ascii="宋体" w:hAnsi="宋体" w:eastAsiaTheme="minorEastAsia" w:cstheme="minorEastAsia"/>
                <w:b w:val="0"/>
                <w:bCs w:val="0"/>
                <w:sz w:val="18"/>
                <w:szCs w:val="18"/>
              </w:rPr>
            </w:pPr>
          </w:p>
        </w:tc>
        <w:tc>
          <w:tcPr>
            <w:tcW w:w="2100" w:type="dxa"/>
            <w:vMerge w:val="continue"/>
            <w:tcBorders>
              <w:top w:val="single" w:color="auto" w:sz="4" w:space="0"/>
              <w:left w:val="single" w:color="auto" w:sz="4" w:space="0"/>
              <w:bottom w:val="single" w:color="auto" w:sz="4" w:space="0"/>
              <w:right w:val="single" w:color="auto" w:sz="4" w:space="0"/>
            </w:tcBorders>
            <w:vAlign w:val="center"/>
          </w:tcPr>
          <w:p w14:paraId="1518CD45">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center"/>
              <w:rPr>
                <w:rFonts w:ascii="宋体" w:hAnsi="宋体" w:eastAsiaTheme="minorEastAsia" w:cstheme="minorEastAsia"/>
                <w:sz w:val="18"/>
                <w:szCs w:val="18"/>
              </w:rPr>
            </w:pPr>
          </w:p>
        </w:tc>
        <w:tc>
          <w:tcPr>
            <w:tcW w:w="5304" w:type="dxa"/>
            <w:tcBorders>
              <w:top w:val="single" w:color="auto" w:sz="4" w:space="0"/>
              <w:left w:val="single" w:color="auto" w:sz="4" w:space="0"/>
              <w:bottom w:val="single" w:color="auto" w:sz="4" w:space="0"/>
              <w:right w:val="single" w:color="auto" w:sz="4" w:space="0"/>
            </w:tcBorders>
            <w:vAlign w:val="center"/>
          </w:tcPr>
          <w:p w14:paraId="2378AD22">
            <w:pPr>
              <w:keepNext w:val="0"/>
              <w:keepLines w:val="0"/>
              <w:pageBreakBefore w:val="0"/>
              <w:widowControl w:val="0"/>
              <w:kinsoku w:val="0"/>
              <w:wordWrap/>
              <w:overflowPunct/>
              <w:topLinePunct w:val="0"/>
              <w:autoSpaceDE w:val="0"/>
              <w:autoSpaceDN w:val="0"/>
              <w:bidi w:val="0"/>
              <w:adjustRightInd w:val="0"/>
              <w:snapToGrid w:val="0"/>
              <w:spacing w:line="240" w:lineRule="auto"/>
              <w:ind w:left="300" w:leftChars="100" w:firstLine="0" w:firstLineChars="0"/>
              <w:jc w:val="center"/>
              <w:rPr>
                <w:rFonts w:ascii="宋体" w:hAnsi="宋体" w:eastAsiaTheme="minorEastAsia" w:cstheme="minorEastAsia"/>
                <w:sz w:val="18"/>
                <w:szCs w:val="18"/>
              </w:rPr>
            </w:pPr>
            <w:r>
              <w:rPr>
                <w:rFonts w:hint="eastAsia" w:ascii="宋体" w:hAnsi="宋体" w:eastAsiaTheme="minorEastAsia" w:cstheme="minorEastAsia"/>
                <w:spacing w:val="9"/>
                <w:sz w:val="18"/>
                <w:szCs w:val="18"/>
              </w:rPr>
              <w:t>组</w:t>
            </w:r>
            <w:r>
              <w:rPr>
                <w:rFonts w:hint="eastAsia" w:ascii="宋体" w:hAnsi="宋体" w:eastAsiaTheme="minorEastAsia" w:cstheme="minorEastAsia"/>
                <w:spacing w:val="8"/>
                <w:sz w:val="18"/>
                <w:szCs w:val="18"/>
              </w:rPr>
              <w:t>织实施有效性</w:t>
            </w:r>
          </w:p>
        </w:tc>
      </w:tr>
      <w:tr w14:paraId="6A431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restart"/>
            <w:tcBorders>
              <w:top w:val="single" w:color="auto" w:sz="4" w:space="0"/>
              <w:left w:val="single" w:color="auto" w:sz="4" w:space="0"/>
              <w:bottom w:val="single" w:color="auto" w:sz="4" w:space="0"/>
              <w:right w:val="single" w:color="auto" w:sz="4" w:space="0"/>
            </w:tcBorders>
            <w:vAlign w:val="center"/>
          </w:tcPr>
          <w:p w14:paraId="52570D4E">
            <w:pPr>
              <w:ind w:firstLine="0" w:firstLineChars="0"/>
              <w:jc w:val="center"/>
              <w:textAlignment w:val="bottom"/>
              <w:rPr>
                <w:rFonts w:ascii="宋体" w:hAnsi="宋体" w:eastAsiaTheme="minorEastAsia" w:cstheme="minorEastAsia"/>
                <w:b w:val="0"/>
                <w:bCs w:val="0"/>
                <w:sz w:val="18"/>
                <w:szCs w:val="18"/>
              </w:rPr>
            </w:pPr>
            <w:r>
              <w:rPr>
                <w:rStyle w:val="18"/>
                <w:rFonts w:hint="default"/>
                <w:b w:val="0"/>
                <w:bCs w:val="0"/>
              </w:rPr>
              <w:t>产出</w:t>
            </w:r>
          </w:p>
        </w:tc>
        <w:tc>
          <w:tcPr>
            <w:tcW w:w="2100" w:type="dxa"/>
            <w:tcBorders>
              <w:top w:val="single" w:color="auto" w:sz="4" w:space="0"/>
              <w:left w:val="single" w:color="auto" w:sz="4" w:space="0"/>
              <w:bottom w:val="single" w:color="auto" w:sz="4" w:space="0"/>
              <w:right w:val="single" w:color="auto" w:sz="4" w:space="0"/>
            </w:tcBorders>
            <w:vAlign w:val="center"/>
          </w:tcPr>
          <w:p w14:paraId="0B5DB0A0">
            <w:pPr>
              <w:keepNext w:val="0"/>
              <w:keepLines w:val="0"/>
              <w:pageBreakBefore w:val="0"/>
              <w:kinsoku w:val="0"/>
              <w:wordWrap/>
              <w:overflowPunct/>
              <w:topLinePunct w:val="0"/>
              <w:autoSpaceDE w:val="0"/>
              <w:autoSpaceDN w:val="0"/>
              <w:bidi w:val="0"/>
              <w:adjustRightInd w:val="0"/>
              <w:snapToGrid w:val="0"/>
              <w:spacing w:line="240" w:lineRule="auto"/>
              <w:ind w:firstLine="0" w:firstLineChars="0"/>
              <w:jc w:val="center"/>
              <w:textAlignment w:val="bottom"/>
              <w:rPr>
                <w:rFonts w:ascii="宋体" w:hAnsi="宋体" w:eastAsiaTheme="minorEastAsia" w:cstheme="minorEastAsia"/>
                <w:sz w:val="18"/>
                <w:szCs w:val="18"/>
              </w:rPr>
            </w:pPr>
            <w:r>
              <w:rPr>
                <w:rStyle w:val="19"/>
                <w:rFonts w:hint="default"/>
              </w:rPr>
              <w:t>产出数量</w:t>
            </w:r>
          </w:p>
        </w:tc>
        <w:tc>
          <w:tcPr>
            <w:tcW w:w="5304" w:type="dxa"/>
            <w:tcBorders>
              <w:top w:val="single" w:color="auto" w:sz="4" w:space="0"/>
              <w:left w:val="single" w:color="auto" w:sz="4" w:space="0"/>
              <w:bottom w:val="single" w:color="auto" w:sz="4" w:space="0"/>
              <w:right w:val="single" w:color="auto" w:sz="4" w:space="0"/>
            </w:tcBorders>
            <w:vAlign w:val="center"/>
          </w:tcPr>
          <w:p w14:paraId="2E7FB61D">
            <w:pPr>
              <w:keepNext w:val="0"/>
              <w:keepLines w:val="0"/>
              <w:pageBreakBefore w:val="0"/>
              <w:kinsoku w:val="0"/>
              <w:wordWrap/>
              <w:overflowPunct/>
              <w:topLinePunct w:val="0"/>
              <w:autoSpaceDE w:val="0"/>
              <w:autoSpaceDN w:val="0"/>
              <w:bidi w:val="0"/>
              <w:adjustRightInd w:val="0"/>
              <w:snapToGrid w:val="0"/>
              <w:spacing w:line="240" w:lineRule="auto"/>
              <w:ind w:left="300" w:leftChars="100" w:firstLine="0" w:firstLineChars="0"/>
              <w:jc w:val="center"/>
              <w:textAlignment w:val="bottom"/>
              <w:rPr>
                <w:rFonts w:ascii="宋体" w:hAnsi="宋体" w:eastAsiaTheme="minorEastAsia" w:cstheme="minorEastAsia"/>
                <w:sz w:val="18"/>
                <w:szCs w:val="18"/>
              </w:rPr>
            </w:pPr>
            <w:r>
              <w:rPr>
                <w:rStyle w:val="19"/>
                <w:rFonts w:hint="default"/>
              </w:rPr>
              <w:t>进度计划完工率</w:t>
            </w:r>
          </w:p>
        </w:tc>
      </w:tr>
      <w:tr w14:paraId="74E2D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continue"/>
            <w:tcBorders>
              <w:top w:val="single" w:color="auto" w:sz="4" w:space="0"/>
              <w:left w:val="single" w:color="auto" w:sz="4" w:space="0"/>
              <w:bottom w:val="single" w:color="auto" w:sz="4" w:space="0"/>
              <w:right w:val="single" w:color="auto" w:sz="4" w:space="0"/>
            </w:tcBorders>
            <w:vAlign w:val="center"/>
          </w:tcPr>
          <w:p w14:paraId="509E37E3">
            <w:pPr>
              <w:ind w:firstLine="0" w:firstLineChars="0"/>
              <w:jc w:val="center"/>
              <w:rPr>
                <w:rFonts w:ascii="宋体" w:hAnsi="宋体" w:eastAsiaTheme="minorEastAsia" w:cstheme="minorEastAsia"/>
                <w:b w:val="0"/>
                <w:bCs w:val="0"/>
                <w:sz w:val="18"/>
                <w:szCs w:val="18"/>
              </w:rPr>
            </w:pPr>
          </w:p>
        </w:tc>
        <w:tc>
          <w:tcPr>
            <w:tcW w:w="2100" w:type="dxa"/>
            <w:tcBorders>
              <w:top w:val="single" w:color="auto" w:sz="4" w:space="0"/>
              <w:left w:val="single" w:color="auto" w:sz="4" w:space="0"/>
              <w:bottom w:val="single" w:color="auto" w:sz="4" w:space="0"/>
              <w:right w:val="single" w:color="auto" w:sz="4" w:space="0"/>
            </w:tcBorders>
            <w:vAlign w:val="center"/>
          </w:tcPr>
          <w:p w14:paraId="35CCB452">
            <w:pPr>
              <w:keepNext w:val="0"/>
              <w:keepLines w:val="0"/>
              <w:pageBreakBefore w:val="0"/>
              <w:kinsoku w:val="0"/>
              <w:wordWrap/>
              <w:overflowPunct/>
              <w:topLinePunct w:val="0"/>
              <w:autoSpaceDE w:val="0"/>
              <w:autoSpaceDN w:val="0"/>
              <w:bidi w:val="0"/>
              <w:adjustRightInd w:val="0"/>
              <w:snapToGrid w:val="0"/>
              <w:spacing w:line="240" w:lineRule="auto"/>
              <w:ind w:firstLine="0" w:firstLineChars="0"/>
              <w:jc w:val="center"/>
              <w:textAlignment w:val="bottom"/>
              <w:rPr>
                <w:rFonts w:ascii="宋体" w:hAnsi="宋体" w:eastAsiaTheme="minorEastAsia" w:cstheme="minorEastAsia"/>
                <w:sz w:val="18"/>
                <w:szCs w:val="18"/>
              </w:rPr>
            </w:pPr>
            <w:r>
              <w:rPr>
                <w:rStyle w:val="19"/>
                <w:rFonts w:hint="default"/>
              </w:rPr>
              <w:t>产出质量</w:t>
            </w:r>
          </w:p>
        </w:tc>
        <w:tc>
          <w:tcPr>
            <w:tcW w:w="5304" w:type="dxa"/>
            <w:tcBorders>
              <w:top w:val="single" w:color="auto" w:sz="4" w:space="0"/>
              <w:left w:val="single" w:color="auto" w:sz="4" w:space="0"/>
              <w:bottom w:val="single" w:color="auto" w:sz="4" w:space="0"/>
              <w:right w:val="single" w:color="auto" w:sz="4" w:space="0"/>
            </w:tcBorders>
            <w:vAlign w:val="center"/>
          </w:tcPr>
          <w:p w14:paraId="4A038FD6">
            <w:pPr>
              <w:keepNext w:val="0"/>
              <w:keepLines w:val="0"/>
              <w:pageBreakBefore w:val="0"/>
              <w:kinsoku w:val="0"/>
              <w:wordWrap/>
              <w:overflowPunct/>
              <w:topLinePunct w:val="0"/>
              <w:autoSpaceDE w:val="0"/>
              <w:autoSpaceDN w:val="0"/>
              <w:bidi w:val="0"/>
              <w:adjustRightInd w:val="0"/>
              <w:snapToGrid w:val="0"/>
              <w:spacing w:line="240" w:lineRule="auto"/>
              <w:ind w:left="300" w:leftChars="100" w:firstLine="0" w:firstLineChars="0"/>
              <w:jc w:val="center"/>
              <w:textAlignment w:val="bottom"/>
              <w:rPr>
                <w:rFonts w:ascii="宋体" w:hAnsi="宋体" w:eastAsiaTheme="minorEastAsia" w:cstheme="minorEastAsia"/>
                <w:sz w:val="18"/>
                <w:szCs w:val="18"/>
              </w:rPr>
            </w:pPr>
            <w:r>
              <w:rPr>
                <w:rStyle w:val="19"/>
                <w:rFonts w:hint="default"/>
              </w:rPr>
              <w:t>质量检测达标情况</w:t>
            </w:r>
          </w:p>
        </w:tc>
      </w:tr>
      <w:tr w14:paraId="13865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continue"/>
            <w:tcBorders>
              <w:top w:val="single" w:color="auto" w:sz="4" w:space="0"/>
              <w:left w:val="single" w:color="auto" w:sz="4" w:space="0"/>
              <w:bottom w:val="single" w:color="auto" w:sz="4" w:space="0"/>
              <w:right w:val="single" w:color="auto" w:sz="4" w:space="0"/>
            </w:tcBorders>
            <w:vAlign w:val="center"/>
          </w:tcPr>
          <w:p w14:paraId="2F84CC0A">
            <w:pPr>
              <w:ind w:firstLine="0" w:firstLineChars="0"/>
              <w:jc w:val="center"/>
              <w:rPr>
                <w:rFonts w:ascii="宋体" w:hAnsi="宋体" w:eastAsiaTheme="minorEastAsia" w:cstheme="minorEastAsia"/>
                <w:b w:val="0"/>
                <w:bCs w:val="0"/>
                <w:sz w:val="18"/>
                <w:szCs w:val="18"/>
              </w:rPr>
            </w:pPr>
          </w:p>
        </w:tc>
        <w:tc>
          <w:tcPr>
            <w:tcW w:w="2100" w:type="dxa"/>
            <w:tcBorders>
              <w:top w:val="single" w:color="auto" w:sz="4" w:space="0"/>
              <w:left w:val="single" w:color="auto" w:sz="4" w:space="0"/>
              <w:bottom w:val="single" w:color="auto" w:sz="4" w:space="0"/>
              <w:right w:val="single" w:color="auto" w:sz="4" w:space="0"/>
            </w:tcBorders>
            <w:vAlign w:val="center"/>
          </w:tcPr>
          <w:p w14:paraId="2CC4F8FD">
            <w:pPr>
              <w:keepNext w:val="0"/>
              <w:keepLines w:val="0"/>
              <w:pageBreakBefore w:val="0"/>
              <w:kinsoku w:val="0"/>
              <w:wordWrap/>
              <w:overflowPunct/>
              <w:topLinePunct w:val="0"/>
              <w:autoSpaceDE w:val="0"/>
              <w:autoSpaceDN w:val="0"/>
              <w:bidi w:val="0"/>
              <w:adjustRightInd w:val="0"/>
              <w:snapToGrid w:val="0"/>
              <w:spacing w:line="240" w:lineRule="auto"/>
              <w:ind w:firstLine="0" w:firstLineChars="0"/>
              <w:jc w:val="center"/>
              <w:textAlignment w:val="bottom"/>
              <w:rPr>
                <w:rFonts w:ascii="宋体" w:hAnsi="宋体" w:eastAsiaTheme="minorEastAsia" w:cstheme="minorEastAsia"/>
                <w:sz w:val="18"/>
                <w:szCs w:val="18"/>
              </w:rPr>
            </w:pPr>
            <w:r>
              <w:rPr>
                <w:rStyle w:val="19"/>
                <w:rFonts w:hint="default"/>
              </w:rPr>
              <w:t>产出时效</w:t>
            </w:r>
          </w:p>
        </w:tc>
        <w:tc>
          <w:tcPr>
            <w:tcW w:w="5304" w:type="dxa"/>
            <w:tcBorders>
              <w:top w:val="single" w:color="auto" w:sz="4" w:space="0"/>
              <w:left w:val="single" w:color="auto" w:sz="4" w:space="0"/>
              <w:bottom w:val="single" w:color="auto" w:sz="4" w:space="0"/>
              <w:right w:val="single" w:color="auto" w:sz="4" w:space="0"/>
            </w:tcBorders>
            <w:vAlign w:val="center"/>
          </w:tcPr>
          <w:p w14:paraId="6E600A8B">
            <w:pPr>
              <w:keepNext w:val="0"/>
              <w:keepLines w:val="0"/>
              <w:pageBreakBefore w:val="0"/>
              <w:kinsoku w:val="0"/>
              <w:wordWrap/>
              <w:overflowPunct/>
              <w:topLinePunct w:val="0"/>
              <w:autoSpaceDE w:val="0"/>
              <w:autoSpaceDN w:val="0"/>
              <w:bidi w:val="0"/>
              <w:adjustRightInd w:val="0"/>
              <w:snapToGrid w:val="0"/>
              <w:spacing w:line="240" w:lineRule="auto"/>
              <w:ind w:left="300" w:leftChars="100" w:firstLine="0" w:firstLineChars="0"/>
              <w:jc w:val="center"/>
              <w:textAlignment w:val="bottom"/>
              <w:rPr>
                <w:rFonts w:ascii="宋体" w:hAnsi="宋体" w:eastAsiaTheme="minorEastAsia" w:cstheme="minorEastAsia"/>
                <w:sz w:val="18"/>
                <w:szCs w:val="18"/>
              </w:rPr>
            </w:pPr>
            <w:r>
              <w:rPr>
                <w:rStyle w:val="19"/>
                <w:rFonts w:hint="default"/>
              </w:rPr>
              <w:t>开工竣工及时率</w:t>
            </w:r>
          </w:p>
        </w:tc>
      </w:tr>
      <w:tr w14:paraId="1BE6B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continue"/>
            <w:tcBorders>
              <w:top w:val="single" w:color="auto" w:sz="4" w:space="0"/>
            </w:tcBorders>
            <w:vAlign w:val="center"/>
          </w:tcPr>
          <w:p w14:paraId="0BCF7FCE">
            <w:pPr>
              <w:ind w:firstLine="0" w:firstLineChars="0"/>
              <w:jc w:val="center"/>
              <w:rPr>
                <w:rFonts w:ascii="宋体" w:hAnsi="宋体" w:eastAsiaTheme="minorEastAsia" w:cstheme="minorEastAsia"/>
                <w:b w:val="0"/>
                <w:bCs w:val="0"/>
                <w:sz w:val="18"/>
                <w:szCs w:val="18"/>
              </w:rPr>
            </w:pPr>
          </w:p>
        </w:tc>
        <w:tc>
          <w:tcPr>
            <w:tcW w:w="2100" w:type="dxa"/>
            <w:tcBorders>
              <w:top w:val="single" w:color="auto" w:sz="4" w:space="0"/>
            </w:tcBorders>
            <w:vAlign w:val="center"/>
          </w:tcPr>
          <w:p w14:paraId="793DB595">
            <w:pPr>
              <w:keepNext w:val="0"/>
              <w:keepLines w:val="0"/>
              <w:pageBreakBefore w:val="0"/>
              <w:kinsoku w:val="0"/>
              <w:wordWrap/>
              <w:overflowPunct/>
              <w:topLinePunct w:val="0"/>
              <w:autoSpaceDE w:val="0"/>
              <w:autoSpaceDN w:val="0"/>
              <w:bidi w:val="0"/>
              <w:adjustRightInd w:val="0"/>
              <w:snapToGrid w:val="0"/>
              <w:spacing w:line="240" w:lineRule="auto"/>
              <w:ind w:firstLine="0" w:firstLineChars="0"/>
              <w:jc w:val="center"/>
              <w:textAlignment w:val="bottom"/>
              <w:rPr>
                <w:rFonts w:ascii="宋体" w:hAnsi="宋体" w:eastAsiaTheme="minorEastAsia" w:cstheme="minorEastAsia"/>
                <w:spacing w:val="9"/>
                <w:sz w:val="18"/>
                <w:szCs w:val="18"/>
              </w:rPr>
            </w:pPr>
            <w:r>
              <w:rPr>
                <w:rStyle w:val="19"/>
                <w:rFonts w:hint="default"/>
              </w:rPr>
              <w:t>产出成本</w:t>
            </w:r>
          </w:p>
        </w:tc>
        <w:tc>
          <w:tcPr>
            <w:tcW w:w="5304" w:type="dxa"/>
            <w:tcBorders>
              <w:top w:val="single" w:color="auto" w:sz="4" w:space="0"/>
            </w:tcBorders>
            <w:vAlign w:val="center"/>
          </w:tcPr>
          <w:p w14:paraId="7883D105">
            <w:pPr>
              <w:keepNext w:val="0"/>
              <w:keepLines w:val="0"/>
              <w:pageBreakBefore w:val="0"/>
              <w:kinsoku w:val="0"/>
              <w:wordWrap/>
              <w:overflowPunct/>
              <w:topLinePunct w:val="0"/>
              <w:autoSpaceDE w:val="0"/>
              <w:autoSpaceDN w:val="0"/>
              <w:bidi w:val="0"/>
              <w:adjustRightInd w:val="0"/>
              <w:snapToGrid w:val="0"/>
              <w:spacing w:line="240" w:lineRule="auto"/>
              <w:ind w:left="300" w:leftChars="100" w:firstLine="0" w:firstLineChars="0"/>
              <w:jc w:val="center"/>
              <w:textAlignment w:val="bottom"/>
              <w:rPr>
                <w:rFonts w:ascii="宋体" w:hAnsi="宋体" w:eastAsiaTheme="minorEastAsia" w:cstheme="minorEastAsia"/>
                <w:spacing w:val="9"/>
                <w:sz w:val="18"/>
                <w:szCs w:val="18"/>
              </w:rPr>
            </w:pPr>
            <w:r>
              <w:rPr>
                <w:rStyle w:val="19"/>
                <w:rFonts w:hint="default"/>
              </w:rPr>
              <w:t>成本使用</w:t>
            </w:r>
          </w:p>
        </w:tc>
      </w:tr>
      <w:tr w14:paraId="0F866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restart"/>
            <w:vAlign w:val="center"/>
          </w:tcPr>
          <w:p w14:paraId="76A57E8A">
            <w:pPr>
              <w:ind w:firstLine="0" w:firstLineChars="0"/>
              <w:jc w:val="center"/>
              <w:textAlignment w:val="bottom"/>
              <w:rPr>
                <w:rFonts w:ascii="宋体" w:hAnsi="宋体" w:eastAsiaTheme="minorEastAsia" w:cstheme="minorEastAsia"/>
                <w:b w:val="0"/>
                <w:bCs w:val="0"/>
                <w:sz w:val="18"/>
                <w:szCs w:val="18"/>
              </w:rPr>
            </w:pPr>
            <w:r>
              <w:rPr>
                <w:rStyle w:val="18"/>
                <w:rFonts w:hint="default"/>
                <w:b w:val="0"/>
                <w:bCs w:val="0"/>
              </w:rPr>
              <w:t>效益</w:t>
            </w:r>
          </w:p>
        </w:tc>
        <w:tc>
          <w:tcPr>
            <w:tcW w:w="2100" w:type="dxa"/>
            <w:vAlign w:val="center"/>
          </w:tcPr>
          <w:p w14:paraId="41D1A440">
            <w:pPr>
              <w:keepNext w:val="0"/>
              <w:keepLines w:val="0"/>
              <w:pageBreakBefore w:val="0"/>
              <w:kinsoku w:val="0"/>
              <w:wordWrap/>
              <w:overflowPunct/>
              <w:topLinePunct w:val="0"/>
              <w:autoSpaceDE w:val="0"/>
              <w:autoSpaceDN w:val="0"/>
              <w:bidi w:val="0"/>
              <w:adjustRightInd w:val="0"/>
              <w:snapToGrid w:val="0"/>
              <w:spacing w:line="240" w:lineRule="auto"/>
              <w:ind w:firstLine="0" w:firstLineChars="0"/>
              <w:jc w:val="center"/>
              <w:textAlignment w:val="bottom"/>
              <w:rPr>
                <w:rFonts w:ascii="宋体" w:hAnsi="宋体" w:eastAsiaTheme="minorEastAsia" w:cstheme="minorEastAsia"/>
                <w:spacing w:val="9"/>
                <w:sz w:val="18"/>
                <w:szCs w:val="18"/>
              </w:rPr>
            </w:pPr>
            <w:r>
              <w:rPr>
                <w:rStyle w:val="19"/>
                <w:rFonts w:hint="default"/>
              </w:rPr>
              <w:t>社会效益</w:t>
            </w:r>
          </w:p>
        </w:tc>
        <w:tc>
          <w:tcPr>
            <w:tcW w:w="5304" w:type="dxa"/>
            <w:vAlign w:val="center"/>
          </w:tcPr>
          <w:p w14:paraId="2DF1C718">
            <w:pPr>
              <w:keepNext w:val="0"/>
              <w:keepLines w:val="0"/>
              <w:pageBreakBefore w:val="0"/>
              <w:kinsoku w:val="0"/>
              <w:wordWrap/>
              <w:overflowPunct/>
              <w:topLinePunct w:val="0"/>
              <w:autoSpaceDE w:val="0"/>
              <w:autoSpaceDN w:val="0"/>
              <w:bidi w:val="0"/>
              <w:adjustRightInd w:val="0"/>
              <w:snapToGrid w:val="0"/>
              <w:spacing w:line="240" w:lineRule="auto"/>
              <w:ind w:left="300" w:leftChars="100" w:firstLine="0" w:firstLineChars="0"/>
              <w:jc w:val="center"/>
              <w:textAlignment w:val="bottom"/>
              <w:rPr>
                <w:rFonts w:ascii="宋体" w:hAnsi="宋体" w:eastAsiaTheme="minorEastAsia" w:cstheme="minorEastAsia"/>
                <w:spacing w:val="9"/>
                <w:sz w:val="18"/>
                <w:szCs w:val="18"/>
              </w:rPr>
            </w:pPr>
            <w:r>
              <w:rPr>
                <w:rStyle w:val="19"/>
                <w:rFonts w:hint="default"/>
              </w:rPr>
              <w:t>社会影响度</w:t>
            </w:r>
          </w:p>
        </w:tc>
      </w:tr>
      <w:tr w14:paraId="496CF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continue"/>
            <w:vAlign w:val="bottom"/>
          </w:tcPr>
          <w:p w14:paraId="514A98C2">
            <w:pPr>
              <w:ind w:firstLine="360"/>
              <w:jc w:val="center"/>
              <w:rPr>
                <w:rFonts w:ascii="宋体" w:hAnsi="宋体" w:eastAsiaTheme="minorEastAsia" w:cstheme="minorEastAsia"/>
                <w:sz w:val="18"/>
                <w:szCs w:val="18"/>
              </w:rPr>
            </w:pPr>
          </w:p>
        </w:tc>
        <w:tc>
          <w:tcPr>
            <w:tcW w:w="2100" w:type="dxa"/>
            <w:vAlign w:val="center"/>
          </w:tcPr>
          <w:p w14:paraId="132B117F">
            <w:pPr>
              <w:keepNext w:val="0"/>
              <w:keepLines w:val="0"/>
              <w:pageBreakBefore w:val="0"/>
              <w:kinsoku w:val="0"/>
              <w:wordWrap/>
              <w:overflowPunct/>
              <w:topLinePunct w:val="0"/>
              <w:autoSpaceDE w:val="0"/>
              <w:autoSpaceDN w:val="0"/>
              <w:bidi w:val="0"/>
              <w:adjustRightInd w:val="0"/>
              <w:snapToGrid w:val="0"/>
              <w:spacing w:line="240" w:lineRule="auto"/>
              <w:ind w:firstLine="0" w:firstLineChars="0"/>
              <w:jc w:val="center"/>
              <w:textAlignment w:val="bottom"/>
              <w:rPr>
                <w:rFonts w:ascii="宋体" w:hAnsi="宋体" w:eastAsiaTheme="minorEastAsia" w:cstheme="minorEastAsia"/>
                <w:spacing w:val="9"/>
                <w:sz w:val="18"/>
                <w:szCs w:val="18"/>
              </w:rPr>
            </w:pPr>
            <w:r>
              <w:rPr>
                <w:rStyle w:val="19"/>
                <w:rFonts w:hint="default"/>
              </w:rPr>
              <w:t>经济效益</w:t>
            </w:r>
          </w:p>
        </w:tc>
        <w:tc>
          <w:tcPr>
            <w:tcW w:w="5304" w:type="dxa"/>
            <w:vAlign w:val="center"/>
          </w:tcPr>
          <w:p w14:paraId="5A680220">
            <w:pPr>
              <w:keepNext w:val="0"/>
              <w:keepLines w:val="0"/>
              <w:pageBreakBefore w:val="0"/>
              <w:kinsoku w:val="0"/>
              <w:wordWrap/>
              <w:overflowPunct/>
              <w:topLinePunct w:val="0"/>
              <w:autoSpaceDE w:val="0"/>
              <w:autoSpaceDN w:val="0"/>
              <w:bidi w:val="0"/>
              <w:adjustRightInd w:val="0"/>
              <w:snapToGrid w:val="0"/>
              <w:spacing w:line="240" w:lineRule="auto"/>
              <w:ind w:left="300" w:leftChars="100" w:firstLine="0" w:firstLineChars="0"/>
              <w:jc w:val="center"/>
              <w:textAlignment w:val="bottom"/>
              <w:rPr>
                <w:rFonts w:ascii="宋体" w:hAnsi="宋体" w:eastAsiaTheme="minorEastAsia" w:cstheme="minorEastAsia"/>
                <w:spacing w:val="9"/>
                <w:sz w:val="18"/>
                <w:szCs w:val="18"/>
              </w:rPr>
            </w:pPr>
            <w:r>
              <w:rPr>
                <w:rStyle w:val="19"/>
                <w:rFonts w:hint="default"/>
              </w:rPr>
              <w:t>经济带动</w:t>
            </w:r>
          </w:p>
        </w:tc>
      </w:tr>
      <w:tr w14:paraId="438A4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continue"/>
            <w:vAlign w:val="bottom"/>
          </w:tcPr>
          <w:p w14:paraId="7AC78FB5">
            <w:pPr>
              <w:ind w:firstLine="360"/>
              <w:jc w:val="center"/>
              <w:rPr>
                <w:rFonts w:ascii="宋体" w:hAnsi="宋体" w:eastAsiaTheme="minorEastAsia" w:cstheme="minorEastAsia"/>
                <w:sz w:val="18"/>
                <w:szCs w:val="18"/>
              </w:rPr>
            </w:pPr>
          </w:p>
        </w:tc>
        <w:tc>
          <w:tcPr>
            <w:tcW w:w="2100" w:type="dxa"/>
            <w:vAlign w:val="center"/>
          </w:tcPr>
          <w:p w14:paraId="3410979D">
            <w:pPr>
              <w:keepNext w:val="0"/>
              <w:keepLines w:val="0"/>
              <w:pageBreakBefore w:val="0"/>
              <w:kinsoku w:val="0"/>
              <w:wordWrap/>
              <w:overflowPunct/>
              <w:topLinePunct w:val="0"/>
              <w:autoSpaceDE w:val="0"/>
              <w:autoSpaceDN w:val="0"/>
              <w:bidi w:val="0"/>
              <w:adjustRightInd w:val="0"/>
              <w:snapToGrid w:val="0"/>
              <w:spacing w:line="240" w:lineRule="auto"/>
              <w:ind w:firstLine="0" w:firstLineChars="0"/>
              <w:jc w:val="center"/>
              <w:textAlignment w:val="bottom"/>
              <w:rPr>
                <w:rFonts w:ascii="宋体" w:hAnsi="宋体" w:eastAsiaTheme="minorEastAsia" w:cstheme="minorEastAsia"/>
                <w:spacing w:val="9"/>
                <w:sz w:val="18"/>
                <w:szCs w:val="18"/>
              </w:rPr>
            </w:pPr>
            <w:r>
              <w:rPr>
                <w:rStyle w:val="19"/>
                <w:rFonts w:hint="default"/>
              </w:rPr>
              <w:t>生态效益</w:t>
            </w:r>
          </w:p>
        </w:tc>
        <w:tc>
          <w:tcPr>
            <w:tcW w:w="5304" w:type="dxa"/>
            <w:vAlign w:val="center"/>
          </w:tcPr>
          <w:p w14:paraId="216DC9CF">
            <w:pPr>
              <w:keepNext w:val="0"/>
              <w:keepLines w:val="0"/>
              <w:pageBreakBefore w:val="0"/>
              <w:kinsoku w:val="0"/>
              <w:wordWrap/>
              <w:overflowPunct/>
              <w:topLinePunct w:val="0"/>
              <w:autoSpaceDE w:val="0"/>
              <w:autoSpaceDN w:val="0"/>
              <w:bidi w:val="0"/>
              <w:adjustRightInd w:val="0"/>
              <w:snapToGrid w:val="0"/>
              <w:spacing w:line="240" w:lineRule="auto"/>
              <w:ind w:left="300" w:leftChars="100" w:firstLine="0" w:firstLineChars="0"/>
              <w:jc w:val="center"/>
              <w:textAlignment w:val="bottom"/>
              <w:rPr>
                <w:rFonts w:ascii="宋体" w:hAnsi="宋体" w:eastAsiaTheme="minorEastAsia" w:cstheme="minorEastAsia"/>
                <w:spacing w:val="9"/>
                <w:sz w:val="18"/>
                <w:szCs w:val="18"/>
              </w:rPr>
            </w:pPr>
            <w:r>
              <w:rPr>
                <w:rStyle w:val="19"/>
                <w:rFonts w:hint="default"/>
              </w:rPr>
              <w:t>生态环保</w:t>
            </w:r>
          </w:p>
        </w:tc>
      </w:tr>
      <w:tr w14:paraId="05E6A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continue"/>
            <w:vAlign w:val="bottom"/>
          </w:tcPr>
          <w:p w14:paraId="5EE6721E">
            <w:pPr>
              <w:ind w:firstLine="360"/>
              <w:jc w:val="center"/>
              <w:rPr>
                <w:rFonts w:ascii="宋体" w:hAnsi="宋体" w:eastAsiaTheme="minorEastAsia" w:cstheme="minorEastAsia"/>
                <w:sz w:val="18"/>
                <w:szCs w:val="18"/>
              </w:rPr>
            </w:pPr>
          </w:p>
        </w:tc>
        <w:tc>
          <w:tcPr>
            <w:tcW w:w="2100" w:type="dxa"/>
            <w:vAlign w:val="center"/>
          </w:tcPr>
          <w:p w14:paraId="5FA438EB">
            <w:pPr>
              <w:keepNext w:val="0"/>
              <w:keepLines w:val="0"/>
              <w:pageBreakBefore w:val="0"/>
              <w:kinsoku w:val="0"/>
              <w:wordWrap/>
              <w:overflowPunct/>
              <w:topLinePunct w:val="0"/>
              <w:autoSpaceDE w:val="0"/>
              <w:autoSpaceDN w:val="0"/>
              <w:bidi w:val="0"/>
              <w:adjustRightInd w:val="0"/>
              <w:snapToGrid w:val="0"/>
              <w:spacing w:line="240" w:lineRule="auto"/>
              <w:ind w:firstLine="0" w:firstLineChars="0"/>
              <w:jc w:val="center"/>
              <w:textAlignment w:val="bottom"/>
              <w:rPr>
                <w:rFonts w:ascii="宋体" w:hAnsi="宋体" w:eastAsiaTheme="minorEastAsia" w:cstheme="minorEastAsia"/>
                <w:spacing w:val="9"/>
                <w:sz w:val="18"/>
                <w:szCs w:val="18"/>
              </w:rPr>
            </w:pPr>
            <w:r>
              <w:rPr>
                <w:rStyle w:val="19"/>
                <w:rFonts w:hint="default"/>
              </w:rPr>
              <w:t>可持续影响</w:t>
            </w:r>
          </w:p>
        </w:tc>
        <w:tc>
          <w:tcPr>
            <w:tcW w:w="5304" w:type="dxa"/>
            <w:vAlign w:val="center"/>
          </w:tcPr>
          <w:p w14:paraId="45438558">
            <w:pPr>
              <w:keepNext w:val="0"/>
              <w:keepLines w:val="0"/>
              <w:pageBreakBefore w:val="0"/>
              <w:kinsoku w:val="0"/>
              <w:wordWrap/>
              <w:overflowPunct/>
              <w:topLinePunct w:val="0"/>
              <w:autoSpaceDE w:val="0"/>
              <w:autoSpaceDN w:val="0"/>
              <w:bidi w:val="0"/>
              <w:adjustRightInd w:val="0"/>
              <w:snapToGrid w:val="0"/>
              <w:spacing w:line="240" w:lineRule="auto"/>
              <w:ind w:left="300" w:leftChars="100" w:firstLine="0" w:firstLineChars="0"/>
              <w:jc w:val="center"/>
              <w:textAlignment w:val="bottom"/>
              <w:rPr>
                <w:rFonts w:ascii="宋体" w:hAnsi="宋体" w:eastAsiaTheme="minorEastAsia" w:cstheme="minorEastAsia"/>
                <w:spacing w:val="9"/>
                <w:sz w:val="18"/>
                <w:szCs w:val="18"/>
              </w:rPr>
            </w:pPr>
            <w:r>
              <w:rPr>
                <w:rStyle w:val="19"/>
                <w:rFonts w:hint="default"/>
              </w:rPr>
              <w:t>可持续运营能力</w:t>
            </w:r>
          </w:p>
        </w:tc>
      </w:tr>
      <w:tr w14:paraId="406BC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458" w:type="dxa"/>
            <w:vMerge w:val="continue"/>
            <w:vAlign w:val="bottom"/>
          </w:tcPr>
          <w:p w14:paraId="1110CED6">
            <w:pPr>
              <w:ind w:firstLine="360"/>
              <w:jc w:val="center"/>
              <w:rPr>
                <w:rFonts w:ascii="宋体" w:hAnsi="宋体" w:eastAsiaTheme="minorEastAsia" w:cstheme="minorEastAsia"/>
                <w:sz w:val="18"/>
                <w:szCs w:val="18"/>
              </w:rPr>
            </w:pPr>
          </w:p>
        </w:tc>
        <w:tc>
          <w:tcPr>
            <w:tcW w:w="2100" w:type="dxa"/>
            <w:vAlign w:val="center"/>
          </w:tcPr>
          <w:p w14:paraId="619D7B85">
            <w:pPr>
              <w:keepNext w:val="0"/>
              <w:keepLines w:val="0"/>
              <w:pageBreakBefore w:val="0"/>
              <w:kinsoku w:val="0"/>
              <w:wordWrap/>
              <w:overflowPunct/>
              <w:topLinePunct w:val="0"/>
              <w:autoSpaceDE w:val="0"/>
              <w:autoSpaceDN w:val="0"/>
              <w:bidi w:val="0"/>
              <w:adjustRightInd w:val="0"/>
              <w:snapToGrid w:val="0"/>
              <w:spacing w:line="240" w:lineRule="auto"/>
              <w:ind w:firstLine="0" w:firstLineChars="0"/>
              <w:jc w:val="center"/>
              <w:textAlignment w:val="bottom"/>
              <w:rPr>
                <w:rFonts w:ascii="宋体" w:hAnsi="宋体" w:eastAsiaTheme="minorEastAsia" w:cstheme="minorEastAsia"/>
                <w:spacing w:val="9"/>
                <w:sz w:val="18"/>
                <w:szCs w:val="18"/>
              </w:rPr>
            </w:pPr>
            <w:r>
              <w:rPr>
                <w:rStyle w:val="19"/>
                <w:rFonts w:hint="default"/>
              </w:rPr>
              <w:t>满意度</w:t>
            </w:r>
          </w:p>
        </w:tc>
        <w:tc>
          <w:tcPr>
            <w:tcW w:w="5304" w:type="dxa"/>
            <w:vAlign w:val="center"/>
          </w:tcPr>
          <w:p w14:paraId="2322AF1F">
            <w:pPr>
              <w:keepNext w:val="0"/>
              <w:keepLines w:val="0"/>
              <w:pageBreakBefore w:val="0"/>
              <w:kinsoku w:val="0"/>
              <w:wordWrap/>
              <w:overflowPunct/>
              <w:topLinePunct w:val="0"/>
              <w:autoSpaceDE w:val="0"/>
              <w:autoSpaceDN w:val="0"/>
              <w:bidi w:val="0"/>
              <w:adjustRightInd w:val="0"/>
              <w:snapToGrid w:val="0"/>
              <w:spacing w:line="240" w:lineRule="auto"/>
              <w:ind w:left="300" w:leftChars="100" w:firstLine="0" w:firstLineChars="0"/>
              <w:jc w:val="center"/>
              <w:textAlignment w:val="bottom"/>
              <w:rPr>
                <w:rFonts w:ascii="宋体" w:hAnsi="宋体" w:eastAsiaTheme="minorEastAsia" w:cstheme="minorEastAsia"/>
                <w:spacing w:val="9"/>
                <w:sz w:val="18"/>
                <w:szCs w:val="18"/>
              </w:rPr>
            </w:pPr>
            <w:r>
              <w:rPr>
                <w:rStyle w:val="19"/>
                <w:rFonts w:hint="default"/>
              </w:rPr>
              <w:t>受益对象满意度</w:t>
            </w:r>
          </w:p>
        </w:tc>
      </w:tr>
    </w:tbl>
    <w:p w14:paraId="09551FC8">
      <w:pPr>
        <w:pStyle w:val="4"/>
        <w:pageBreakBefore w:val="0"/>
        <w:kinsoku w:val="0"/>
        <w:wordWrap/>
        <w:overflowPunct/>
        <w:topLinePunct w:val="0"/>
        <w:autoSpaceDE w:val="0"/>
        <w:autoSpaceDN w:val="0"/>
        <w:bidi w:val="0"/>
        <w:adjustRightInd w:val="0"/>
        <w:snapToGrid w:val="0"/>
        <w:spacing w:beforeLines="50" w:line="600" w:lineRule="exact"/>
        <w:ind w:firstLine="600"/>
        <w:textAlignment w:val="baseline"/>
        <w:rPr>
          <w:rFonts w:ascii="宋体" w:hAnsi="宋体"/>
          <w:sz w:val="28"/>
          <w:szCs w:val="28"/>
        </w:rPr>
      </w:pPr>
      <w:bookmarkStart w:id="85" w:name="_Toc11354"/>
      <w:bookmarkStart w:id="86" w:name="_Toc19300"/>
      <w:bookmarkStart w:id="87" w:name="_Toc2869"/>
      <w:r>
        <w:rPr>
          <w:rFonts w:hint="eastAsia" w:ascii="宋体" w:hAnsi="宋体"/>
          <w:sz w:val="28"/>
          <w:szCs w:val="28"/>
        </w:rPr>
        <w:t>2.评价方法</w:t>
      </w:r>
      <w:bookmarkEnd w:id="85"/>
      <w:bookmarkEnd w:id="86"/>
      <w:bookmarkEnd w:id="87"/>
    </w:p>
    <w:p w14:paraId="56C081AC">
      <w:pPr>
        <w:pageBreakBefore w:val="0"/>
        <w:widowControl w:val="0"/>
        <w:kinsoku w:val="0"/>
        <w:wordWrap/>
        <w:overflowPunct/>
        <w:topLinePunct w:val="0"/>
        <w:autoSpaceDE w:val="0"/>
        <w:autoSpaceDN w:val="0"/>
        <w:bidi w:val="0"/>
        <w:adjustRightInd w:val="0"/>
        <w:snapToGrid w:val="0"/>
        <w:spacing w:line="600" w:lineRule="exact"/>
        <w:ind w:firstLine="584"/>
        <w:textAlignment w:val="baseline"/>
        <w:rPr>
          <w:rFonts w:ascii="宋体" w:hAnsi="宋体" w:cs="仿宋_GB2312"/>
          <w:bCs/>
          <w:spacing w:val="-8"/>
          <w:sz w:val="28"/>
          <w:szCs w:val="28"/>
        </w:rPr>
      </w:pPr>
      <w:r>
        <w:rPr>
          <w:rFonts w:hint="eastAsia" w:ascii="宋体" w:hAnsi="宋体" w:cs="仿宋_GB2312"/>
          <w:bCs/>
          <w:spacing w:val="-8"/>
          <w:sz w:val="28"/>
          <w:szCs w:val="28"/>
        </w:rPr>
        <w:t>本次绩效评价遵循“客观、公正、科学、规范”的原则，结合项目特点，采取询问查证、实地察看、问卷调查和专家评议相结合的方法开展评价工作，定性与定量相结合，从项目决策、项目管理、项目产出、项目效益4个方面对本项目开展绩效评价。</w:t>
      </w:r>
    </w:p>
    <w:p w14:paraId="0E24BFFF">
      <w:pPr>
        <w:pStyle w:val="4"/>
        <w:pageBreakBefore w:val="0"/>
        <w:kinsoku w:val="0"/>
        <w:wordWrap/>
        <w:overflowPunct/>
        <w:topLinePunct w:val="0"/>
        <w:autoSpaceDE w:val="0"/>
        <w:autoSpaceDN w:val="0"/>
        <w:bidi w:val="0"/>
        <w:adjustRightInd w:val="0"/>
        <w:snapToGrid w:val="0"/>
        <w:spacing w:line="600" w:lineRule="exact"/>
        <w:ind w:firstLine="600"/>
        <w:textAlignment w:val="baseline"/>
        <w:rPr>
          <w:rFonts w:ascii="宋体" w:hAnsi="宋体"/>
          <w:sz w:val="28"/>
          <w:szCs w:val="28"/>
        </w:rPr>
      </w:pPr>
      <w:bookmarkStart w:id="88" w:name="_Toc15639"/>
      <w:bookmarkStart w:id="89" w:name="_Toc27812"/>
      <w:bookmarkStart w:id="90" w:name="_Toc6786"/>
      <w:r>
        <w:rPr>
          <w:rFonts w:hint="eastAsia" w:ascii="宋体" w:hAnsi="宋体"/>
          <w:sz w:val="28"/>
          <w:szCs w:val="28"/>
        </w:rPr>
        <w:t>3.评价标准</w:t>
      </w:r>
      <w:bookmarkEnd w:id="88"/>
      <w:bookmarkEnd w:id="89"/>
      <w:bookmarkEnd w:id="90"/>
    </w:p>
    <w:p w14:paraId="1041DB05">
      <w:pPr>
        <w:keepNext w:val="0"/>
        <w:keepLines w:val="0"/>
        <w:pageBreakBefore w:val="0"/>
        <w:widowControl w:val="0"/>
        <w:kinsoku/>
        <w:wordWrap/>
        <w:overflowPunct/>
        <w:topLinePunct w:val="0"/>
        <w:autoSpaceDE w:val="0"/>
        <w:autoSpaceDN w:val="0"/>
        <w:bidi w:val="0"/>
        <w:adjustRightInd w:val="0"/>
        <w:snapToGrid w:val="0"/>
        <w:spacing w:line="600" w:lineRule="exact"/>
        <w:ind w:firstLine="584"/>
        <w:jc w:val="both"/>
        <w:textAlignment w:val="baseline"/>
        <w:rPr>
          <w:rFonts w:ascii="宋体" w:hAnsi="宋体" w:cs="仿宋_GB2312"/>
          <w:bCs/>
          <w:spacing w:val="-8"/>
          <w:sz w:val="28"/>
          <w:szCs w:val="28"/>
        </w:rPr>
      </w:pPr>
      <w:r>
        <w:rPr>
          <w:rFonts w:hint="eastAsia" w:ascii="宋体" w:hAnsi="宋体" w:cs="仿宋_GB2312"/>
          <w:bCs/>
          <w:spacing w:val="-8"/>
          <w:sz w:val="28"/>
          <w:szCs w:val="28"/>
        </w:rPr>
        <w:t>本次评价采用的评价标准主要有计划标准、行业标准和其他标准。将《地方政府专项债券项目资金绩效管理办法》（财预【2021】61号）、《吉林省地方政府专项债券项目绩效评价管理办法（试行）》（吉财债【2021】1044号）等提出的工作目标、资金拨付指标文件、资金分配方案、可行性研究报告、绩效目标表等作为计划评价标准；将《建材工业建设项目经济评价方法与参数》《建筑地基基础工程施工量验收规范》等作为行业评价标准，将与长春宽城经济开发区管理委员会商议出的标准作为其他评价标准。</w:t>
      </w:r>
    </w:p>
    <w:p w14:paraId="46491DAF">
      <w:pPr>
        <w:pStyle w:val="3"/>
        <w:pageBreakBefore w:val="0"/>
        <w:kinsoku w:val="0"/>
        <w:wordWrap/>
        <w:overflowPunct/>
        <w:topLinePunct w:val="0"/>
        <w:autoSpaceDE w:val="0"/>
        <w:autoSpaceDN w:val="0"/>
        <w:bidi w:val="0"/>
        <w:adjustRightInd w:val="0"/>
        <w:snapToGrid w:val="0"/>
        <w:spacing w:line="600" w:lineRule="exact"/>
        <w:ind w:firstLine="602"/>
        <w:textAlignment w:val="baseline"/>
        <w:rPr>
          <w:rFonts w:ascii="宋体" w:hAnsi="宋体"/>
          <w:sz w:val="28"/>
          <w:szCs w:val="28"/>
        </w:rPr>
      </w:pPr>
      <w:bookmarkStart w:id="91" w:name="_bookmark7"/>
      <w:bookmarkEnd w:id="91"/>
      <w:bookmarkStart w:id="92" w:name="_Toc9976"/>
      <w:bookmarkStart w:id="93" w:name="_Toc25902"/>
      <w:bookmarkStart w:id="94" w:name="_Toc30614"/>
      <w:r>
        <w:rPr>
          <w:rFonts w:hint="eastAsia" w:ascii="宋体" w:hAnsi="宋体"/>
          <w:sz w:val="28"/>
          <w:szCs w:val="28"/>
        </w:rPr>
        <w:t>（五）绩效评价工作过程</w:t>
      </w:r>
      <w:bookmarkEnd w:id="92"/>
      <w:bookmarkEnd w:id="93"/>
      <w:bookmarkEnd w:id="94"/>
    </w:p>
    <w:p w14:paraId="4E26C9AB">
      <w:pPr>
        <w:pageBreakBefore w:val="0"/>
        <w:widowControl w:val="0"/>
        <w:kinsoku w:val="0"/>
        <w:wordWrap/>
        <w:overflowPunct/>
        <w:topLinePunct w:val="0"/>
        <w:autoSpaceDE w:val="0"/>
        <w:autoSpaceDN w:val="0"/>
        <w:bidi w:val="0"/>
        <w:adjustRightInd w:val="0"/>
        <w:snapToGrid w:val="0"/>
        <w:spacing w:line="600" w:lineRule="exact"/>
        <w:ind w:firstLine="584"/>
        <w:jc w:val="both"/>
        <w:textAlignment w:val="baseline"/>
        <w:rPr>
          <w:rFonts w:ascii="宋体" w:hAnsi="宋体" w:cs="仿宋_GB2312"/>
          <w:spacing w:val="-8"/>
          <w:sz w:val="28"/>
          <w:szCs w:val="28"/>
        </w:rPr>
      </w:pPr>
      <w:r>
        <w:rPr>
          <w:rFonts w:hint="eastAsia" w:ascii="宋体" w:hAnsi="宋体" w:cs="仿宋_GB2312"/>
          <w:spacing w:val="-8"/>
          <w:sz w:val="28"/>
          <w:szCs w:val="28"/>
        </w:rPr>
        <w:t>前期资料收集及调研，收集查找有关项目的法律法规和相关制度；相关行业政策、行业标准及专业技术规范；预算管理制度、专项债券资金及财务管理办法、专项债券资金拨付文件等资料，对项目情况进行初步了解。</w:t>
      </w:r>
    </w:p>
    <w:p w14:paraId="6673B21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584"/>
        <w:jc w:val="both"/>
        <w:textAlignment w:val="baseline"/>
        <w:rPr>
          <w:rFonts w:ascii="宋体" w:hAnsi="宋体" w:cs="仿宋_GB2312"/>
          <w:spacing w:val="-8"/>
          <w:sz w:val="28"/>
          <w:szCs w:val="28"/>
        </w:rPr>
      </w:pPr>
      <w:r>
        <w:rPr>
          <w:rFonts w:hint="eastAsia" w:ascii="宋体" w:hAnsi="宋体" w:cs="仿宋_GB2312"/>
          <w:spacing w:val="-8"/>
          <w:sz w:val="28"/>
          <w:szCs w:val="28"/>
        </w:rPr>
        <w:t>根据项目内容和特征制定评价指标体系、评价标准及评价实施方案，确定所需材料清单和访谈问卷，形成绩效评价工作方案初稿。组成项目小组进行组内讨论，多轮修改及校对。根据专家老师的指导完善工作方案，确定最终的绩效评价方案。</w:t>
      </w:r>
    </w:p>
    <w:p w14:paraId="688CBABC">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584"/>
        <w:jc w:val="both"/>
        <w:textAlignment w:val="baseline"/>
        <w:rPr>
          <w:rFonts w:ascii="宋体" w:hAnsi="宋体" w:cs="仿宋_GB2312"/>
          <w:spacing w:val="-8"/>
          <w:sz w:val="28"/>
          <w:szCs w:val="28"/>
        </w:rPr>
      </w:pPr>
      <w:r>
        <w:rPr>
          <w:rFonts w:hint="eastAsia" w:ascii="宋体" w:hAnsi="宋体" w:cs="仿宋_GB2312"/>
          <w:spacing w:val="-8"/>
          <w:sz w:val="28"/>
          <w:szCs w:val="28"/>
          <w:lang w:val="en-US" w:eastAsia="zh-CN"/>
        </w:rPr>
        <w:t>组成项目</w:t>
      </w:r>
      <w:r>
        <w:rPr>
          <w:rFonts w:hint="eastAsia" w:ascii="宋体" w:hAnsi="宋体" w:cs="仿宋_GB2312"/>
          <w:spacing w:val="-8"/>
          <w:sz w:val="28"/>
          <w:szCs w:val="28"/>
        </w:rPr>
        <w:t>评价组</w:t>
      </w:r>
      <w:r>
        <w:rPr>
          <w:rFonts w:hint="eastAsia" w:ascii="宋体" w:hAnsi="宋体" w:cs="仿宋_GB2312"/>
          <w:spacing w:val="-8"/>
          <w:sz w:val="28"/>
          <w:szCs w:val="28"/>
          <w:lang w:eastAsia="zh-CN"/>
        </w:rPr>
        <w:t>，</w:t>
      </w:r>
      <w:r>
        <w:rPr>
          <w:rFonts w:hint="eastAsia" w:ascii="宋体" w:hAnsi="宋体" w:cs="仿宋_GB2312"/>
          <w:spacing w:val="-8"/>
          <w:sz w:val="28"/>
          <w:szCs w:val="28"/>
          <w:lang w:val="en-US" w:eastAsia="zh-CN"/>
        </w:rPr>
        <w:t>并</w:t>
      </w:r>
      <w:r>
        <w:rPr>
          <w:rFonts w:hint="eastAsia" w:ascii="宋体" w:hAnsi="宋体" w:cs="仿宋_GB2312"/>
          <w:spacing w:val="-8"/>
          <w:sz w:val="28"/>
          <w:szCs w:val="28"/>
        </w:rPr>
        <w:t>先后对长春宽城经济开发区管理委员会、长春市宽城区中医院进行现场调研。主要听取被评价单位与评价项目的目标设定及完成情况，组织管理制度健全及落实情况，专项资金执行情况，财务管理状况，和项目产生的效益效果情况介绍。了解项目实施等情况并收集所需资料，对收集的资料进行查看，核实其真实性。</w:t>
      </w:r>
    </w:p>
    <w:p w14:paraId="585A31AD">
      <w:pPr>
        <w:pageBreakBefore w:val="0"/>
        <w:widowControl w:val="0"/>
        <w:kinsoku w:val="0"/>
        <w:wordWrap/>
        <w:overflowPunct/>
        <w:topLinePunct w:val="0"/>
        <w:autoSpaceDE w:val="0"/>
        <w:autoSpaceDN w:val="0"/>
        <w:bidi w:val="0"/>
        <w:adjustRightInd w:val="0"/>
        <w:snapToGrid w:val="0"/>
        <w:spacing w:line="600" w:lineRule="exact"/>
        <w:ind w:firstLine="584"/>
        <w:jc w:val="both"/>
        <w:textAlignment w:val="baseline"/>
        <w:rPr>
          <w:rFonts w:ascii="宋体" w:hAnsi="宋体" w:cs="仿宋_GB2312"/>
          <w:spacing w:val="-8"/>
          <w:sz w:val="28"/>
          <w:szCs w:val="28"/>
        </w:rPr>
      </w:pPr>
      <w:r>
        <w:rPr>
          <w:rFonts w:hint="eastAsia" w:ascii="宋体" w:hAnsi="宋体" w:cs="仿宋_GB2312"/>
          <w:spacing w:val="-8"/>
          <w:sz w:val="28"/>
          <w:szCs w:val="28"/>
        </w:rPr>
        <w:t>评价组按照绩效评价原则和规范，对取得的资料与数据进行客观分析，按照绩效评价指标体系逐一打分，并撰写绩效评价报告，完成初稿后，征求被评价单位意见，根据反馈的有效意见对评价报告进行修改，并按照规定的时间提交给长春宽城经济开发区管理委员会审核。</w:t>
      </w:r>
    </w:p>
    <w:p w14:paraId="71A6B813">
      <w:pPr>
        <w:pStyle w:val="2"/>
        <w:pageBreakBefore w:val="0"/>
        <w:kinsoku w:val="0"/>
        <w:wordWrap/>
        <w:overflowPunct/>
        <w:topLinePunct w:val="0"/>
        <w:autoSpaceDE w:val="0"/>
        <w:autoSpaceDN w:val="0"/>
        <w:bidi w:val="0"/>
        <w:adjustRightInd w:val="0"/>
        <w:snapToGrid w:val="0"/>
        <w:spacing w:line="600" w:lineRule="exact"/>
        <w:ind w:firstLine="602"/>
        <w:jc w:val="both"/>
        <w:textAlignment w:val="baseline"/>
        <w:rPr>
          <w:rFonts w:ascii="宋体" w:hAnsi="宋体"/>
          <w:sz w:val="28"/>
          <w:szCs w:val="28"/>
        </w:rPr>
      </w:pPr>
      <w:bookmarkStart w:id="95" w:name="_bookmark8"/>
      <w:bookmarkEnd w:id="95"/>
      <w:bookmarkStart w:id="96" w:name="_Toc19240"/>
      <w:bookmarkStart w:id="97" w:name="_Toc12998"/>
      <w:bookmarkStart w:id="98" w:name="_Toc25332"/>
      <w:r>
        <w:rPr>
          <w:rFonts w:hint="eastAsia" w:ascii="宋体" w:hAnsi="宋体"/>
          <w:sz w:val="28"/>
          <w:szCs w:val="28"/>
        </w:rPr>
        <w:t>三、综合评价情况及评价结论</w:t>
      </w:r>
      <w:bookmarkEnd w:id="96"/>
      <w:bookmarkEnd w:id="97"/>
      <w:bookmarkEnd w:id="98"/>
    </w:p>
    <w:p w14:paraId="7A541B9B">
      <w:pPr>
        <w:pageBreakBefore w:val="0"/>
        <w:widowControl w:val="0"/>
        <w:kinsoku w:val="0"/>
        <w:wordWrap/>
        <w:overflowPunct/>
        <w:topLinePunct w:val="0"/>
        <w:autoSpaceDE w:val="0"/>
        <w:autoSpaceDN w:val="0"/>
        <w:bidi w:val="0"/>
        <w:adjustRightInd w:val="0"/>
        <w:snapToGrid w:val="0"/>
        <w:spacing w:line="600" w:lineRule="exact"/>
        <w:ind w:firstLine="584"/>
        <w:jc w:val="both"/>
        <w:textAlignment w:val="baseline"/>
        <w:rPr>
          <w:rFonts w:ascii="宋体" w:hAnsi="宋体" w:cs="仿宋_GB2312"/>
          <w:spacing w:val="-8"/>
          <w:sz w:val="28"/>
          <w:szCs w:val="28"/>
          <w:highlight w:val="none"/>
        </w:rPr>
      </w:pPr>
      <w:r>
        <w:rPr>
          <w:rFonts w:hint="eastAsia" w:ascii="宋体" w:hAnsi="宋体" w:cs="仿宋_GB2312"/>
          <w:spacing w:val="-8"/>
          <w:sz w:val="28"/>
          <w:szCs w:val="28"/>
          <w:highlight w:val="none"/>
          <w:lang w:val="en-US" w:eastAsia="zh-CN"/>
        </w:rPr>
        <w:t>依</w:t>
      </w:r>
      <w:r>
        <w:rPr>
          <w:rFonts w:hint="eastAsia" w:ascii="宋体" w:hAnsi="宋体" w:cs="仿宋_GB2312"/>
          <w:spacing w:val="-8"/>
          <w:sz w:val="28"/>
          <w:szCs w:val="28"/>
          <w:highlight w:val="none"/>
        </w:rPr>
        <w:t>据《吉林省地方政府专项债券项目资金绩效管理办法（试行）》（吉财债〔2021〕1044号），该项目绩效评价得分为</w:t>
      </w:r>
      <w:r>
        <w:rPr>
          <w:rFonts w:hint="eastAsia" w:ascii="宋体" w:hAnsi="宋体" w:cs="仿宋_GB2312"/>
          <w:spacing w:val="-8"/>
          <w:sz w:val="28"/>
          <w:szCs w:val="28"/>
          <w:highlight w:val="none"/>
          <w:lang w:val="en-US" w:eastAsia="zh-CN"/>
        </w:rPr>
        <w:t>92.92</w:t>
      </w:r>
      <w:r>
        <w:rPr>
          <w:rFonts w:hint="eastAsia" w:ascii="宋体" w:hAnsi="宋体" w:cs="仿宋_GB2312"/>
          <w:spacing w:val="-8"/>
          <w:sz w:val="28"/>
          <w:szCs w:val="28"/>
          <w:highlight w:val="none"/>
        </w:rPr>
        <w:t>分，本项目</w:t>
      </w:r>
      <w:r>
        <w:rPr>
          <w:rFonts w:hint="eastAsia" w:ascii="宋体" w:hAnsi="宋体" w:cs="仿宋_GB2312"/>
          <w:spacing w:val="-8"/>
          <w:sz w:val="28"/>
          <w:szCs w:val="28"/>
          <w:highlight w:val="none"/>
          <w:lang w:val="en-US" w:eastAsia="zh-CN"/>
        </w:rPr>
        <w:t>2025年度</w:t>
      </w:r>
      <w:r>
        <w:rPr>
          <w:rFonts w:hint="eastAsia" w:ascii="宋体" w:hAnsi="宋体" w:cs="仿宋_GB2312"/>
          <w:spacing w:val="-8"/>
          <w:sz w:val="28"/>
          <w:szCs w:val="28"/>
          <w:highlight w:val="none"/>
        </w:rPr>
        <w:t>综合评分分级为“</w:t>
      </w:r>
      <w:r>
        <w:rPr>
          <w:rFonts w:hint="eastAsia" w:ascii="宋体" w:hAnsi="宋体" w:cs="仿宋_GB2312"/>
          <w:spacing w:val="-8"/>
          <w:sz w:val="28"/>
          <w:szCs w:val="28"/>
          <w:highlight w:val="none"/>
          <w:lang w:val="en-US" w:eastAsia="zh-CN"/>
        </w:rPr>
        <w:t>优</w:t>
      </w:r>
      <w:r>
        <w:rPr>
          <w:rFonts w:hint="eastAsia" w:ascii="宋体" w:hAnsi="宋体" w:cs="仿宋_GB2312"/>
          <w:spacing w:val="-8"/>
          <w:sz w:val="28"/>
          <w:szCs w:val="28"/>
          <w:highlight w:val="none"/>
        </w:rPr>
        <w:t>”，评价等级为“</w:t>
      </w:r>
      <w:r>
        <w:rPr>
          <w:rFonts w:hint="eastAsia" w:ascii="宋体" w:hAnsi="宋体" w:cs="仿宋_GB2312"/>
          <w:spacing w:val="-8"/>
          <w:sz w:val="28"/>
          <w:szCs w:val="28"/>
          <w:highlight w:val="none"/>
          <w:lang w:val="en-US" w:eastAsia="zh-CN"/>
        </w:rPr>
        <w:t>优</w:t>
      </w:r>
      <w:r>
        <w:rPr>
          <w:rFonts w:hint="eastAsia" w:ascii="宋体" w:hAnsi="宋体" w:cs="仿宋_GB2312"/>
          <w:spacing w:val="-8"/>
          <w:sz w:val="28"/>
          <w:szCs w:val="28"/>
          <w:highlight w:val="none"/>
        </w:rPr>
        <w:t>”。绩效评价得分汇总如表</w:t>
      </w:r>
      <w:r>
        <w:rPr>
          <w:rFonts w:hint="eastAsia" w:ascii="宋体" w:hAnsi="宋体" w:cs="仿宋_GB2312"/>
          <w:spacing w:val="-8"/>
          <w:sz w:val="28"/>
          <w:szCs w:val="28"/>
          <w:highlight w:val="none"/>
          <w:lang w:val="en-US" w:eastAsia="zh-CN"/>
        </w:rPr>
        <w:t>1</w:t>
      </w:r>
      <w:r>
        <w:rPr>
          <w:rFonts w:hint="eastAsia" w:ascii="宋体" w:hAnsi="宋体" w:cs="仿宋_GB2312"/>
          <w:spacing w:val="-8"/>
          <w:sz w:val="28"/>
          <w:szCs w:val="28"/>
          <w:highlight w:val="none"/>
        </w:rPr>
        <w:t>所示，该项目综合评价情况如下：</w:t>
      </w:r>
    </w:p>
    <w:p w14:paraId="57ED3D55">
      <w:pPr>
        <w:pageBreakBefore w:val="0"/>
        <w:widowControl w:val="0"/>
        <w:kinsoku w:val="0"/>
        <w:wordWrap/>
        <w:overflowPunct/>
        <w:topLinePunct w:val="0"/>
        <w:autoSpaceDE w:val="0"/>
        <w:autoSpaceDN w:val="0"/>
        <w:bidi w:val="0"/>
        <w:adjustRightInd w:val="0"/>
        <w:snapToGrid w:val="0"/>
        <w:spacing w:line="600" w:lineRule="exact"/>
        <w:ind w:firstLine="586"/>
        <w:jc w:val="both"/>
        <w:textAlignment w:val="baseline"/>
        <w:rPr>
          <w:rFonts w:ascii="宋体" w:hAnsi="宋体" w:cs="仿宋_GB2312"/>
          <w:spacing w:val="-8"/>
          <w:sz w:val="28"/>
          <w:szCs w:val="28"/>
          <w:highlight w:val="none"/>
        </w:rPr>
      </w:pPr>
      <w:r>
        <w:rPr>
          <w:rFonts w:hint="eastAsia" w:ascii="宋体" w:hAnsi="宋体" w:cs="仿宋_GB2312"/>
          <w:b/>
          <w:bCs/>
          <w:spacing w:val="-8"/>
          <w:sz w:val="28"/>
          <w:szCs w:val="28"/>
          <w:highlight w:val="none"/>
        </w:rPr>
        <w:t>决策方面</w:t>
      </w:r>
      <w:r>
        <w:rPr>
          <w:rFonts w:hint="eastAsia" w:ascii="宋体" w:hAnsi="宋体" w:cs="仿宋_GB2312"/>
          <w:spacing w:val="-8"/>
          <w:sz w:val="28"/>
          <w:szCs w:val="28"/>
          <w:highlight w:val="none"/>
        </w:rPr>
        <w:t>，长春市宽城区卫生综合体建设项目实施过程中，能够做到立项与管理基本规范，项目基本完成；立项依据基本充分，立项程序规范。</w:t>
      </w:r>
    </w:p>
    <w:p w14:paraId="07819BAF">
      <w:pPr>
        <w:pageBreakBefore w:val="0"/>
        <w:widowControl w:val="0"/>
        <w:kinsoku w:val="0"/>
        <w:wordWrap/>
        <w:overflowPunct/>
        <w:topLinePunct w:val="0"/>
        <w:autoSpaceDE w:val="0"/>
        <w:autoSpaceDN w:val="0"/>
        <w:bidi w:val="0"/>
        <w:adjustRightInd w:val="0"/>
        <w:snapToGrid w:val="0"/>
        <w:spacing w:line="600" w:lineRule="exact"/>
        <w:ind w:firstLine="586"/>
        <w:jc w:val="both"/>
        <w:textAlignment w:val="baseline"/>
        <w:rPr>
          <w:rFonts w:ascii="宋体" w:hAnsi="宋体" w:cs="仿宋_GB2312"/>
          <w:spacing w:val="-8"/>
          <w:sz w:val="28"/>
          <w:szCs w:val="28"/>
          <w:highlight w:val="none"/>
        </w:rPr>
      </w:pPr>
      <w:r>
        <w:rPr>
          <w:rFonts w:hint="eastAsia" w:ascii="宋体" w:hAnsi="宋体" w:cs="仿宋_GB2312"/>
          <w:b/>
          <w:bCs/>
          <w:spacing w:val="-8"/>
          <w:sz w:val="28"/>
          <w:szCs w:val="28"/>
          <w:highlight w:val="none"/>
        </w:rPr>
        <w:t>管理方面</w:t>
      </w:r>
      <w:r>
        <w:rPr>
          <w:rFonts w:hint="eastAsia" w:ascii="宋体" w:hAnsi="宋体" w:cs="仿宋_GB2312"/>
          <w:spacing w:val="-8"/>
          <w:sz w:val="28"/>
          <w:szCs w:val="28"/>
          <w:highlight w:val="none"/>
        </w:rPr>
        <w:t>，资金使用</w:t>
      </w:r>
      <w:r>
        <w:rPr>
          <w:rFonts w:hint="eastAsia" w:ascii="宋体" w:hAnsi="宋体" w:cs="仿宋_GB2312"/>
          <w:spacing w:val="-8"/>
          <w:sz w:val="28"/>
          <w:szCs w:val="28"/>
          <w:highlight w:val="none"/>
          <w:lang w:eastAsia="zh-CN"/>
        </w:rPr>
        <w:t>、</w:t>
      </w:r>
      <w:r>
        <w:rPr>
          <w:rFonts w:hint="eastAsia" w:ascii="宋体" w:hAnsi="宋体" w:cs="仿宋_GB2312"/>
          <w:spacing w:val="-8"/>
          <w:sz w:val="28"/>
          <w:szCs w:val="28"/>
          <w:highlight w:val="none"/>
          <w:lang w:val="en-US" w:eastAsia="zh-CN"/>
        </w:rPr>
        <w:t>实施程序基本</w:t>
      </w:r>
      <w:r>
        <w:rPr>
          <w:rFonts w:hint="eastAsia" w:ascii="宋体" w:hAnsi="宋体" w:cs="仿宋_GB2312"/>
          <w:spacing w:val="-8"/>
          <w:sz w:val="28"/>
          <w:szCs w:val="28"/>
          <w:highlight w:val="none"/>
        </w:rPr>
        <w:t>合规，符合国家财经法规和财务管理制度以及有关专项资金管理办法的规定，</w:t>
      </w:r>
      <w:r>
        <w:rPr>
          <w:rFonts w:hint="eastAsia" w:ascii="宋体" w:hAnsi="宋体" w:cs="仿宋_GB2312"/>
          <w:spacing w:val="-8"/>
          <w:sz w:val="28"/>
          <w:szCs w:val="28"/>
          <w:highlight w:val="none"/>
          <w:lang w:val="en-US" w:eastAsia="zh-CN"/>
        </w:rPr>
        <w:t>2025年度</w:t>
      </w:r>
      <w:r>
        <w:rPr>
          <w:rFonts w:hint="eastAsia" w:ascii="宋体" w:hAnsi="宋体" w:cs="仿宋_GB2312"/>
          <w:spacing w:val="-8"/>
          <w:sz w:val="28"/>
          <w:szCs w:val="28"/>
          <w:highlight w:val="none"/>
        </w:rPr>
        <w:t>在合同签订</w:t>
      </w:r>
      <w:r>
        <w:rPr>
          <w:rFonts w:hint="eastAsia" w:ascii="宋体" w:hAnsi="宋体" w:cs="仿宋_GB2312"/>
          <w:spacing w:val="-8"/>
          <w:sz w:val="28"/>
          <w:szCs w:val="28"/>
          <w:highlight w:val="none"/>
          <w:lang w:eastAsia="zh-CN"/>
        </w:rPr>
        <w:t>、</w:t>
      </w:r>
      <w:r>
        <w:rPr>
          <w:rFonts w:hint="eastAsia" w:ascii="宋体" w:hAnsi="宋体" w:cs="仿宋_GB2312"/>
          <w:spacing w:val="-8"/>
          <w:sz w:val="28"/>
          <w:szCs w:val="28"/>
          <w:highlight w:val="none"/>
        </w:rPr>
        <w:t>资金拨付的审批程序和手续完整；项目前期资料准备充分并取得批复，管理制度基本健全</w:t>
      </w:r>
      <w:r>
        <w:rPr>
          <w:rFonts w:hint="eastAsia" w:ascii="宋体" w:hAnsi="宋体" w:cs="仿宋_GB2312"/>
          <w:spacing w:val="-8"/>
          <w:sz w:val="28"/>
          <w:szCs w:val="28"/>
          <w:highlight w:val="none"/>
          <w:lang w:val="en-US" w:eastAsia="zh-CN"/>
        </w:rPr>
        <w:t>但不够细化</w:t>
      </w:r>
      <w:r>
        <w:rPr>
          <w:rFonts w:hint="eastAsia" w:ascii="宋体" w:hAnsi="宋体" w:cs="仿宋_GB2312"/>
          <w:spacing w:val="-8"/>
          <w:sz w:val="28"/>
          <w:szCs w:val="28"/>
          <w:highlight w:val="none"/>
        </w:rPr>
        <w:t>，项目合同书等资料齐全并归档管理。</w:t>
      </w:r>
    </w:p>
    <w:p w14:paraId="4A0842FA">
      <w:pPr>
        <w:pageBreakBefore w:val="0"/>
        <w:widowControl w:val="0"/>
        <w:kinsoku w:val="0"/>
        <w:wordWrap/>
        <w:overflowPunct/>
        <w:topLinePunct w:val="0"/>
        <w:autoSpaceDE w:val="0"/>
        <w:autoSpaceDN w:val="0"/>
        <w:bidi w:val="0"/>
        <w:adjustRightInd w:val="0"/>
        <w:snapToGrid w:val="0"/>
        <w:spacing w:line="600" w:lineRule="exact"/>
        <w:ind w:firstLine="586"/>
        <w:jc w:val="both"/>
        <w:textAlignment w:val="baseline"/>
        <w:rPr>
          <w:rFonts w:hint="default" w:ascii="宋体" w:hAnsi="宋体" w:eastAsia="仿宋_GB2312" w:cs="仿宋_GB2312"/>
          <w:spacing w:val="-8"/>
          <w:sz w:val="28"/>
          <w:szCs w:val="28"/>
          <w:highlight w:val="none"/>
          <w:lang w:val="en-US" w:eastAsia="zh-CN"/>
        </w:rPr>
      </w:pPr>
      <w:r>
        <w:rPr>
          <w:rFonts w:hint="eastAsia" w:ascii="宋体" w:hAnsi="宋体" w:cs="仿宋_GB2312"/>
          <w:b/>
          <w:bCs/>
          <w:spacing w:val="-8"/>
          <w:sz w:val="28"/>
          <w:szCs w:val="28"/>
          <w:highlight w:val="none"/>
        </w:rPr>
        <w:t>产出方面</w:t>
      </w:r>
      <w:r>
        <w:rPr>
          <w:rFonts w:hint="eastAsia" w:ascii="宋体" w:hAnsi="宋体" w:cs="仿宋_GB2312"/>
          <w:spacing w:val="-8"/>
          <w:sz w:val="28"/>
          <w:szCs w:val="28"/>
          <w:highlight w:val="none"/>
        </w:rPr>
        <w:t>，项目未</w:t>
      </w:r>
      <w:r>
        <w:rPr>
          <w:rFonts w:hint="eastAsia" w:ascii="宋体" w:hAnsi="宋体" w:cs="仿宋_GB2312"/>
          <w:spacing w:val="-8"/>
          <w:sz w:val="28"/>
          <w:szCs w:val="28"/>
          <w:highlight w:val="none"/>
          <w:lang w:val="en-US" w:eastAsia="zh-CN"/>
        </w:rPr>
        <w:t>能按建设计划</w:t>
      </w:r>
      <w:r>
        <w:rPr>
          <w:rFonts w:hint="eastAsia" w:ascii="宋体" w:hAnsi="宋体" w:cs="仿宋_GB2312"/>
          <w:spacing w:val="-8"/>
          <w:sz w:val="28"/>
          <w:szCs w:val="28"/>
          <w:highlight w:val="none"/>
        </w:rPr>
        <w:t>开工，施工主体工程按照</w:t>
      </w:r>
      <w:r>
        <w:rPr>
          <w:rFonts w:hint="eastAsia" w:ascii="宋体" w:hAnsi="宋体" w:cs="仿宋_GB2312"/>
          <w:spacing w:val="-8"/>
          <w:sz w:val="28"/>
          <w:szCs w:val="28"/>
          <w:highlight w:val="none"/>
          <w:lang w:val="en-US" w:eastAsia="zh-CN"/>
        </w:rPr>
        <w:t>未按照</w:t>
      </w:r>
      <w:r>
        <w:rPr>
          <w:rFonts w:hint="eastAsia" w:ascii="宋体" w:hAnsi="宋体" w:cs="仿宋_GB2312"/>
          <w:spacing w:val="-8"/>
          <w:sz w:val="28"/>
          <w:szCs w:val="28"/>
          <w:highlight w:val="none"/>
        </w:rPr>
        <w:t>计划工期</w:t>
      </w:r>
      <w:r>
        <w:rPr>
          <w:rFonts w:hint="eastAsia" w:ascii="宋体" w:hAnsi="宋体" w:cs="仿宋_GB2312"/>
          <w:spacing w:val="-8"/>
          <w:sz w:val="28"/>
          <w:szCs w:val="28"/>
          <w:highlight w:val="none"/>
          <w:lang w:val="en-US" w:eastAsia="zh-CN"/>
        </w:rPr>
        <w:t>完工，未取得延期批复文件</w:t>
      </w:r>
      <w:r>
        <w:rPr>
          <w:rFonts w:hint="eastAsia" w:ascii="宋体" w:hAnsi="宋体" w:cs="仿宋_GB2312"/>
          <w:spacing w:val="-8"/>
          <w:sz w:val="28"/>
          <w:szCs w:val="28"/>
          <w:highlight w:val="none"/>
        </w:rPr>
        <w:t>，</w:t>
      </w:r>
      <w:r>
        <w:rPr>
          <w:rFonts w:hint="eastAsia" w:ascii="宋体" w:hAnsi="宋体" w:cs="仿宋_GB2312"/>
          <w:spacing w:val="-8"/>
          <w:sz w:val="28"/>
          <w:szCs w:val="28"/>
          <w:highlight w:val="none"/>
          <w:lang w:val="en-US" w:eastAsia="zh-CN"/>
        </w:rPr>
        <w:t>虽已投入使用，但仍未完成验收工作，</w:t>
      </w:r>
      <w:r>
        <w:rPr>
          <w:rFonts w:hint="eastAsia" w:ascii="宋体" w:hAnsi="宋体" w:cs="仿宋_GB2312"/>
          <w:spacing w:val="-8"/>
          <w:sz w:val="28"/>
          <w:szCs w:val="28"/>
          <w:highlight w:val="none"/>
        </w:rPr>
        <w:t>施工期间未发生质量事故、安全事故及违规施工问题</w:t>
      </w:r>
      <w:r>
        <w:rPr>
          <w:rFonts w:hint="eastAsia" w:ascii="宋体" w:hAnsi="宋体" w:cs="仿宋_GB2312"/>
          <w:spacing w:val="-8"/>
          <w:sz w:val="28"/>
          <w:szCs w:val="28"/>
          <w:highlight w:val="none"/>
          <w:lang w:eastAsia="zh-CN"/>
        </w:rPr>
        <w:t>，</w:t>
      </w:r>
      <w:r>
        <w:rPr>
          <w:rFonts w:hint="eastAsia" w:ascii="宋体" w:hAnsi="宋体" w:cs="仿宋_GB2312"/>
          <w:spacing w:val="-8"/>
          <w:sz w:val="28"/>
          <w:szCs w:val="28"/>
          <w:highlight w:val="none"/>
        </w:rPr>
        <w:t>工程质量方面得到较好保障。本项目已拨付专项债券资金已全部执行，且资本金已按照绩效目标拨付</w:t>
      </w:r>
      <w:r>
        <w:rPr>
          <w:rFonts w:hint="eastAsia" w:ascii="宋体" w:hAnsi="宋体" w:cs="仿宋_GB2312"/>
          <w:spacing w:val="-8"/>
          <w:sz w:val="28"/>
          <w:szCs w:val="28"/>
          <w:highlight w:val="none"/>
          <w:lang w:val="en-US" w:eastAsia="zh-CN"/>
        </w:rPr>
        <w:t>。</w:t>
      </w:r>
    </w:p>
    <w:p w14:paraId="7F6BB22C">
      <w:pPr>
        <w:pageBreakBefore w:val="0"/>
        <w:widowControl w:val="0"/>
        <w:kinsoku w:val="0"/>
        <w:wordWrap/>
        <w:overflowPunct/>
        <w:topLinePunct w:val="0"/>
        <w:autoSpaceDE w:val="0"/>
        <w:autoSpaceDN w:val="0"/>
        <w:bidi w:val="0"/>
        <w:adjustRightInd w:val="0"/>
        <w:snapToGrid w:val="0"/>
        <w:spacing w:line="600" w:lineRule="exact"/>
        <w:ind w:firstLine="586"/>
        <w:jc w:val="both"/>
        <w:textAlignment w:val="baseline"/>
        <w:rPr>
          <w:rFonts w:hint="eastAsia" w:ascii="宋体" w:hAnsi="宋体" w:cs="仿宋_GB2312"/>
          <w:spacing w:val="-8"/>
          <w:sz w:val="28"/>
          <w:szCs w:val="28"/>
          <w:highlight w:val="none"/>
        </w:rPr>
      </w:pPr>
      <w:r>
        <w:rPr>
          <w:rFonts w:hint="eastAsia" w:ascii="宋体" w:hAnsi="宋体" w:cs="仿宋_GB2312"/>
          <w:b/>
          <w:bCs/>
          <w:spacing w:val="-8"/>
          <w:sz w:val="28"/>
          <w:szCs w:val="28"/>
          <w:highlight w:val="none"/>
        </w:rPr>
        <w:t>效益方面</w:t>
      </w:r>
      <w:r>
        <w:rPr>
          <w:rFonts w:hint="eastAsia" w:ascii="宋体" w:hAnsi="宋体" w:cs="仿宋_GB2312"/>
          <w:spacing w:val="-8"/>
          <w:sz w:val="28"/>
          <w:szCs w:val="28"/>
          <w:highlight w:val="none"/>
        </w:rPr>
        <w:t>，该项目的建设可以改善区域医疗环境和布局，满足医疗卫生事业发展的需要；可以保障人们身体健康，促进病人就医及治疗条件，完善医疗卫生服务质量及服务水平。</w:t>
      </w:r>
    </w:p>
    <w:p w14:paraId="748CA50E">
      <w:pPr>
        <w:pageBreakBefore w:val="0"/>
        <w:widowControl w:val="0"/>
        <w:kinsoku w:val="0"/>
        <w:wordWrap/>
        <w:overflowPunct/>
        <w:topLinePunct w:val="0"/>
        <w:autoSpaceDE w:val="0"/>
        <w:autoSpaceDN w:val="0"/>
        <w:bidi w:val="0"/>
        <w:adjustRightInd w:val="0"/>
        <w:snapToGrid w:val="0"/>
        <w:spacing w:line="600" w:lineRule="exact"/>
        <w:ind w:firstLine="586"/>
        <w:jc w:val="both"/>
        <w:textAlignment w:val="baseline"/>
        <w:rPr>
          <w:rFonts w:hint="eastAsia" w:ascii="宋体" w:hAnsi="宋体" w:cs="仿宋_GB2312"/>
          <w:spacing w:val="-8"/>
          <w:sz w:val="28"/>
          <w:szCs w:val="28"/>
          <w:highlight w:val="none"/>
        </w:rPr>
      </w:pPr>
    </w:p>
    <w:tbl>
      <w:tblPr>
        <w:tblStyle w:val="14"/>
        <w:tblW w:w="8285"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8"/>
        <w:gridCol w:w="2272"/>
        <w:gridCol w:w="2037"/>
        <w:gridCol w:w="2188"/>
      </w:tblGrid>
      <w:tr w14:paraId="41EF4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8285" w:type="dxa"/>
            <w:gridSpan w:val="4"/>
            <w:tcBorders>
              <w:top w:val="nil"/>
              <w:left w:val="nil"/>
              <w:bottom w:val="single" w:color="auto" w:sz="4" w:space="0"/>
              <w:right w:val="nil"/>
            </w:tcBorders>
            <w:vAlign w:val="center"/>
          </w:tcPr>
          <w:p w14:paraId="6DB50E73">
            <w:pPr>
              <w:widowControl w:val="0"/>
              <w:spacing w:line="240" w:lineRule="exact"/>
              <w:ind w:firstLine="0" w:firstLineChars="0"/>
              <w:jc w:val="center"/>
              <w:rPr>
                <w:rFonts w:ascii="宋体" w:hAnsi="宋体" w:eastAsiaTheme="minorEastAsia" w:cstheme="minorEastAsia"/>
                <w:b/>
                <w:bCs/>
                <w:spacing w:val="6"/>
                <w:sz w:val="18"/>
                <w:szCs w:val="18"/>
                <w:highlight w:val="none"/>
              </w:rPr>
            </w:pPr>
            <w:r>
              <w:rPr>
                <w:rFonts w:hint="eastAsia" w:ascii="宋体" w:hAnsi="宋体" w:eastAsiaTheme="minorEastAsia" w:cstheme="minorEastAsia"/>
                <w:b/>
                <w:bCs/>
                <w:spacing w:val="-10"/>
                <w:sz w:val="18"/>
                <w:szCs w:val="18"/>
                <w:highlight w:val="none"/>
              </w:rPr>
              <w:t>表</w:t>
            </w:r>
            <w:r>
              <w:rPr>
                <w:rFonts w:hint="eastAsia" w:ascii="宋体" w:hAnsi="宋体" w:eastAsiaTheme="minorEastAsia" w:cstheme="minorEastAsia"/>
                <w:b/>
                <w:bCs/>
                <w:spacing w:val="-6"/>
                <w:sz w:val="18"/>
                <w:szCs w:val="18"/>
                <w:highlight w:val="none"/>
                <w:lang w:val="en-US" w:eastAsia="zh-CN"/>
              </w:rPr>
              <w:t>1</w:t>
            </w:r>
            <w:r>
              <w:rPr>
                <w:rFonts w:hint="eastAsia" w:ascii="宋体" w:hAnsi="宋体" w:eastAsiaTheme="minorEastAsia" w:cstheme="minorEastAsia"/>
                <w:b/>
                <w:bCs/>
                <w:spacing w:val="-6"/>
                <w:sz w:val="18"/>
                <w:szCs w:val="18"/>
                <w:highlight w:val="none"/>
              </w:rPr>
              <w:t>：绩效评价得分汇总表（详见附件1)</w:t>
            </w:r>
          </w:p>
        </w:tc>
      </w:tr>
      <w:tr w14:paraId="16DDE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788" w:type="dxa"/>
            <w:tcBorders>
              <w:top w:val="single" w:color="auto" w:sz="4" w:space="0"/>
            </w:tcBorders>
            <w:vAlign w:val="center"/>
          </w:tcPr>
          <w:p w14:paraId="0C39B3F4">
            <w:pPr>
              <w:widowControl w:val="0"/>
              <w:spacing w:line="240" w:lineRule="exact"/>
              <w:ind w:firstLine="0" w:firstLineChars="0"/>
              <w:jc w:val="center"/>
              <w:rPr>
                <w:rFonts w:ascii="宋体" w:hAnsi="宋体" w:eastAsiaTheme="minorEastAsia" w:cstheme="minorEastAsia"/>
                <w:b/>
                <w:bCs/>
                <w:sz w:val="18"/>
                <w:szCs w:val="18"/>
                <w:highlight w:val="none"/>
              </w:rPr>
            </w:pPr>
            <w:r>
              <w:rPr>
                <w:rFonts w:hint="eastAsia" w:ascii="宋体" w:hAnsi="宋体" w:eastAsiaTheme="minorEastAsia" w:cstheme="minorEastAsia"/>
                <w:b/>
                <w:bCs/>
                <w:spacing w:val="4"/>
                <w:sz w:val="18"/>
                <w:szCs w:val="18"/>
                <w:highlight w:val="none"/>
              </w:rPr>
              <w:t>一级指</w:t>
            </w:r>
            <w:r>
              <w:rPr>
                <w:rFonts w:hint="eastAsia" w:ascii="宋体" w:hAnsi="宋体" w:eastAsiaTheme="minorEastAsia" w:cstheme="minorEastAsia"/>
                <w:b/>
                <w:bCs/>
                <w:spacing w:val="3"/>
                <w:sz w:val="18"/>
                <w:szCs w:val="18"/>
                <w:highlight w:val="none"/>
              </w:rPr>
              <w:t>标</w:t>
            </w:r>
          </w:p>
        </w:tc>
        <w:tc>
          <w:tcPr>
            <w:tcW w:w="2272" w:type="dxa"/>
            <w:tcBorders>
              <w:top w:val="single" w:color="auto" w:sz="4" w:space="0"/>
            </w:tcBorders>
            <w:vAlign w:val="center"/>
          </w:tcPr>
          <w:p w14:paraId="006A368D">
            <w:pPr>
              <w:widowControl w:val="0"/>
              <w:spacing w:line="240" w:lineRule="exact"/>
              <w:ind w:firstLine="0" w:firstLineChars="0"/>
              <w:jc w:val="center"/>
              <w:rPr>
                <w:rFonts w:ascii="宋体" w:hAnsi="宋体" w:eastAsiaTheme="minorEastAsia" w:cstheme="minorEastAsia"/>
                <w:b/>
                <w:bCs/>
                <w:sz w:val="18"/>
                <w:szCs w:val="18"/>
                <w:highlight w:val="none"/>
              </w:rPr>
            </w:pPr>
            <w:r>
              <w:rPr>
                <w:rFonts w:hint="eastAsia" w:ascii="宋体" w:hAnsi="宋体" w:eastAsiaTheme="minorEastAsia" w:cstheme="minorEastAsia"/>
                <w:b/>
                <w:bCs/>
                <w:spacing w:val="6"/>
                <w:sz w:val="18"/>
                <w:szCs w:val="18"/>
                <w:highlight w:val="none"/>
              </w:rPr>
              <w:t>分</w:t>
            </w:r>
            <w:r>
              <w:rPr>
                <w:rFonts w:hint="eastAsia" w:ascii="宋体" w:hAnsi="宋体" w:eastAsiaTheme="minorEastAsia" w:cstheme="minorEastAsia"/>
                <w:b/>
                <w:bCs/>
                <w:spacing w:val="4"/>
                <w:sz w:val="18"/>
                <w:szCs w:val="18"/>
                <w:highlight w:val="none"/>
              </w:rPr>
              <w:t>值</w:t>
            </w:r>
          </w:p>
        </w:tc>
        <w:tc>
          <w:tcPr>
            <w:tcW w:w="2037" w:type="dxa"/>
            <w:tcBorders>
              <w:top w:val="single" w:color="auto" w:sz="4" w:space="0"/>
            </w:tcBorders>
            <w:vAlign w:val="center"/>
          </w:tcPr>
          <w:p w14:paraId="5EE141F7">
            <w:pPr>
              <w:widowControl w:val="0"/>
              <w:spacing w:line="240" w:lineRule="exact"/>
              <w:ind w:firstLine="0" w:firstLineChars="0"/>
              <w:jc w:val="center"/>
              <w:rPr>
                <w:rFonts w:ascii="宋体" w:hAnsi="宋体" w:eastAsiaTheme="minorEastAsia" w:cstheme="minorEastAsia"/>
                <w:b/>
                <w:bCs/>
                <w:sz w:val="18"/>
                <w:szCs w:val="18"/>
                <w:highlight w:val="none"/>
              </w:rPr>
            </w:pPr>
            <w:r>
              <w:rPr>
                <w:rFonts w:hint="eastAsia" w:ascii="宋体" w:hAnsi="宋体" w:eastAsiaTheme="minorEastAsia" w:cstheme="minorEastAsia"/>
                <w:b/>
                <w:bCs/>
                <w:spacing w:val="6"/>
                <w:sz w:val="18"/>
                <w:szCs w:val="18"/>
                <w:highlight w:val="none"/>
              </w:rPr>
              <w:t>得</w:t>
            </w:r>
            <w:r>
              <w:rPr>
                <w:rFonts w:hint="eastAsia" w:ascii="宋体" w:hAnsi="宋体" w:eastAsiaTheme="minorEastAsia" w:cstheme="minorEastAsia"/>
                <w:b/>
                <w:bCs/>
                <w:spacing w:val="4"/>
                <w:sz w:val="18"/>
                <w:szCs w:val="18"/>
                <w:highlight w:val="none"/>
              </w:rPr>
              <w:t>分</w:t>
            </w:r>
          </w:p>
        </w:tc>
        <w:tc>
          <w:tcPr>
            <w:tcW w:w="2188" w:type="dxa"/>
            <w:tcBorders>
              <w:top w:val="single" w:color="auto" w:sz="4" w:space="0"/>
            </w:tcBorders>
            <w:vAlign w:val="center"/>
          </w:tcPr>
          <w:p w14:paraId="56CD51FA">
            <w:pPr>
              <w:widowControl w:val="0"/>
              <w:spacing w:line="240" w:lineRule="exact"/>
              <w:ind w:firstLine="0" w:firstLineChars="0"/>
              <w:jc w:val="center"/>
              <w:rPr>
                <w:rFonts w:ascii="宋体" w:hAnsi="宋体" w:eastAsiaTheme="minorEastAsia" w:cstheme="minorEastAsia"/>
                <w:b/>
                <w:bCs/>
                <w:sz w:val="18"/>
                <w:szCs w:val="18"/>
                <w:highlight w:val="none"/>
              </w:rPr>
            </w:pPr>
            <w:r>
              <w:rPr>
                <w:rFonts w:hint="eastAsia" w:ascii="宋体" w:hAnsi="宋体" w:eastAsiaTheme="minorEastAsia" w:cstheme="minorEastAsia"/>
                <w:b/>
                <w:bCs/>
                <w:spacing w:val="6"/>
                <w:sz w:val="18"/>
                <w:szCs w:val="18"/>
                <w:highlight w:val="none"/>
              </w:rPr>
              <w:t>得</w:t>
            </w:r>
            <w:r>
              <w:rPr>
                <w:rFonts w:hint="eastAsia" w:ascii="宋体" w:hAnsi="宋体" w:eastAsiaTheme="minorEastAsia" w:cstheme="minorEastAsia"/>
                <w:b/>
                <w:bCs/>
                <w:spacing w:val="5"/>
                <w:sz w:val="18"/>
                <w:szCs w:val="18"/>
                <w:highlight w:val="none"/>
              </w:rPr>
              <w:t>分率</w:t>
            </w:r>
          </w:p>
        </w:tc>
      </w:tr>
      <w:tr w14:paraId="45C5F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788" w:type="dxa"/>
            <w:vAlign w:val="center"/>
          </w:tcPr>
          <w:p w14:paraId="360A6391">
            <w:pPr>
              <w:widowControl w:val="0"/>
              <w:spacing w:line="240" w:lineRule="exact"/>
              <w:ind w:firstLine="0" w:firstLineChars="0"/>
              <w:jc w:val="center"/>
              <w:rPr>
                <w:rFonts w:ascii="宋体" w:hAnsi="宋体" w:eastAsiaTheme="minorEastAsia" w:cstheme="minorEastAsia"/>
                <w:sz w:val="18"/>
                <w:szCs w:val="18"/>
                <w:highlight w:val="none"/>
              </w:rPr>
            </w:pPr>
            <w:r>
              <w:rPr>
                <w:rFonts w:hint="eastAsia" w:ascii="宋体" w:hAnsi="宋体" w:eastAsiaTheme="minorEastAsia" w:cstheme="minorEastAsia"/>
                <w:spacing w:val="5"/>
                <w:sz w:val="18"/>
                <w:szCs w:val="18"/>
                <w:highlight w:val="none"/>
              </w:rPr>
              <w:t>决</w:t>
            </w:r>
            <w:r>
              <w:rPr>
                <w:rFonts w:hint="eastAsia" w:ascii="宋体" w:hAnsi="宋体" w:eastAsiaTheme="minorEastAsia" w:cstheme="minorEastAsia"/>
                <w:spacing w:val="4"/>
                <w:sz w:val="18"/>
                <w:szCs w:val="18"/>
                <w:highlight w:val="none"/>
              </w:rPr>
              <w:t>策</w:t>
            </w:r>
          </w:p>
        </w:tc>
        <w:tc>
          <w:tcPr>
            <w:tcW w:w="2272" w:type="dxa"/>
            <w:vAlign w:val="bottom"/>
          </w:tcPr>
          <w:p w14:paraId="680B1086">
            <w:pPr>
              <w:keepNext w:val="0"/>
              <w:keepLines w:val="0"/>
              <w:widowControl/>
              <w:suppressLineNumbers w:val="0"/>
              <w:ind w:firstLine="360" w:firstLineChars="200"/>
              <w:jc w:val="center"/>
              <w:textAlignment w:val="bottom"/>
              <w:rPr>
                <w:rFonts w:ascii="宋体" w:hAnsi="宋体" w:eastAsiaTheme="minorEastAsia" w:cstheme="minorEastAsia"/>
                <w:sz w:val="18"/>
                <w:szCs w:val="18"/>
                <w:highlight w:val="none"/>
              </w:rPr>
            </w:pPr>
            <w:r>
              <w:rPr>
                <w:rFonts w:hint="eastAsia" w:ascii="宋体" w:hAnsi="宋体" w:eastAsia="宋体" w:cs="宋体"/>
                <w:i w:val="0"/>
                <w:iCs w:val="0"/>
                <w:snapToGrid w:val="0"/>
                <w:color w:val="000000"/>
                <w:kern w:val="0"/>
                <w:sz w:val="18"/>
                <w:szCs w:val="18"/>
                <w:highlight w:val="none"/>
                <w:u w:val="none"/>
                <w:lang w:val="en-US" w:eastAsia="zh-CN" w:bidi="ar"/>
              </w:rPr>
              <w:t>25</w:t>
            </w:r>
          </w:p>
        </w:tc>
        <w:tc>
          <w:tcPr>
            <w:tcW w:w="2037" w:type="dxa"/>
            <w:vAlign w:val="bottom"/>
          </w:tcPr>
          <w:p w14:paraId="4ED21780">
            <w:pPr>
              <w:keepNext w:val="0"/>
              <w:keepLines w:val="0"/>
              <w:widowControl/>
              <w:suppressLineNumbers w:val="0"/>
              <w:ind w:firstLine="360" w:firstLineChars="200"/>
              <w:jc w:val="center"/>
              <w:textAlignment w:val="bottom"/>
              <w:rPr>
                <w:rFonts w:ascii="宋体" w:hAnsi="宋体" w:eastAsiaTheme="minorEastAsia" w:cstheme="minorEastAsia"/>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2188" w:type="dxa"/>
            <w:vAlign w:val="bottom"/>
          </w:tcPr>
          <w:p w14:paraId="527EA9D4">
            <w:pPr>
              <w:keepNext w:val="0"/>
              <w:keepLines w:val="0"/>
              <w:widowControl/>
              <w:suppressLineNumbers w:val="0"/>
              <w:ind w:firstLine="360" w:firstLineChars="200"/>
              <w:jc w:val="center"/>
              <w:textAlignment w:val="bottom"/>
              <w:rPr>
                <w:rFonts w:ascii="宋体" w:hAnsi="宋体" w:eastAsiaTheme="minorEastAsia" w:cstheme="minorEastAsia"/>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100.00%</w:t>
            </w:r>
          </w:p>
        </w:tc>
      </w:tr>
      <w:tr w14:paraId="0F7A4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788" w:type="dxa"/>
            <w:vAlign w:val="center"/>
          </w:tcPr>
          <w:p w14:paraId="42BA56C2">
            <w:pPr>
              <w:widowControl w:val="0"/>
              <w:spacing w:line="240" w:lineRule="exact"/>
              <w:ind w:firstLine="0" w:firstLineChars="0"/>
              <w:jc w:val="center"/>
              <w:rPr>
                <w:rFonts w:ascii="宋体" w:hAnsi="宋体" w:eastAsiaTheme="minorEastAsia" w:cstheme="minorEastAsia"/>
                <w:sz w:val="18"/>
                <w:szCs w:val="18"/>
                <w:highlight w:val="none"/>
              </w:rPr>
            </w:pPr>
            <w:r>
              <w:rPr>
                <w:rFonts w:hint="eastAsia" w:ascii="宋体" w:hAnsi="宋体" w:eastAsiaTheme="minorEastAsia" w:cstheme="minorEastAsia"/>
                <w:spacing w:val="4"/>
                <w:sz w:val="18"/>
                <w:szCs w:val="18"/>
                <w:highlight w:val="none"/>
              </w:rPr>
              <w:t>管理</w:t>
            </w:r>
          </w:p>
        </w:tc>
        <w:tc>
          <w:tcPr>
            <w:tcW w:w="2272" w:type="dxa"/>
            <w:vAlign w:val="bottom"/>
          </w:tcPr>
          <w:p w14:paraId="77137EC3">
            <w:pPr>
              <w:keepNext w:val="0"/>
              <w:keepLines w:val="0"/>
              <w:widowControl/>
              <w:suppressLineNumbers w:val="0"/>
              <w:ind w:firstLine="360" w:firstLineChars="200"/>
              <w:jc w:val="center"/>
              <w:textAlignment w:val="bottom"/>
              <w:rPr>
                <w:rFonts w:ascii="宋体" w:hAnsi="宋体" w:eastAsiaTheme="minorEastAsia" w:cstheme="minorEastAsia"/>
                <w:sz w:val="18"/>
                <w:szCs w:val="18"/>
                <w:highlight w:val="none"/>
              </w:rPr>
            </w:pPr>
            <w:r>
              <w:rPr>
                <w:rFonts w:hint="eastAsia" w:ascii="宋体" w:hAnsi="宋体" w:eastAsia="宋体" w:cs="宋体"/>
                <w:i w:val="0"/>
                <w:iCs w:val="0"/>
                <w:snapToGrid w:val="0"/>
                <w:color w:val="000000"/>
                <w:kern w:val="0"/>
                <w:sz w:val="18"/>
                <w:szCs w:val="18"/>
                <w:highlight w:val="none"/>
                <w:u w:val="none"/>
                <w:lang w:val="en-US" w:eastAsia="zh-CN" w:bidi="ar"/>
              </w:rPr>
              <w:t>20</w:t>
            </w:r>
          </w:p>
        </w:tc>
        <w:tc>
          <w:tcPr>
            <w:tcW w:w="2037" w:type="dxa"/>
            <w:vAlign w:val="bottom"/>
          </w:tcPr>
          <w:p w14:paraId="1C7B1E36">
            <w:pPr>
              <w:keepNext w:val="0"/>
              <w:keepLines w:val="0"/>
              <w:widowControl/>
              <w:suppressLineNumbers w:val="0"/>
              <w:ind w:firstLine="360" w:firstLineChars="200"/>
              <w:jc w:val="center"/>
              <w:textAlignment w:val="bottom"/>
              <w:rPr>
                <w:rFonts w:hint="eastAsia" w:ascii="宋体" w:hAnsi="宋体" w:eastAsiaTheme="minorEastAsia" w:cstheme="minorEastAsia"/>
                <w:sz w:val="18"/>
                <w:szCs w:val="18"/>
                <w:highlight w:val="none"/>
                <w:lang w:eastAsia="zh-CN"/>
              </w:rPr>
            </w:pPr>
            <w:r>
              <w:rPr>
                <w:rFonts w:hint="eastAsia" w:ascii="宋体" w:hAnsi="宋体" w:eastAsia="宋体" w:cs="宋体"/>
                <w:i w:val="0"/>
                <w:iCs w:val="0"/>
                <w:snapToGrid w:val="0"/>
                <w:color w:val="000000"/>
                <w:kern w:val="0"/>
                <w:sz w:val="18"/>
                <w:szCs w:val="18"/>
                <w:u w:val="none"/>
                <w:lang w:val="en-US" w:eastAsia="zh-CN" w:bidi="ar"/>
              </w:rPr>
              <w:t>17.42</w:t>
            </w:r>
          </w:p>
        </w:tc>
        <w:tc>
          <w:tcPr>
            <w:tcW w:w="2188" w:type="dxa"/>
            <w:vAlign w:val="bottom"/>
          </w:tcPr>
          <w:p w14:paraId="1703D0A4">
            <w:pPr>
              <w:keepNext w:val="0"/>
              <w:keepLines w:val="0"/>
              <w:widowControl/>
              <w:suppressLineNumbers w:val="0"/>
              <w:ind w:firstLine="360" w:firstLineChars="200"/>
              <w:jc w:val="center"/>
              <w:textAlignment w:val="bottom"/>
              <w:rPr>
                <w:rFonts w:ascii="宋体" w:hAnsi="宋体" w:eastAsiaTheme="minorEastAsia" w:cstheme="minorEastAsia"/>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87.10%</w:t>
            </w:r>
          </w:p>
        </w:tc>
      </w:tr>
      <w:tr w14:paraId="4EB4C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788" w:type="dxa"/>
            <w:vAlign w:val="center"/>
          </w:tcPr>
          <w:p w14:paraId="19D612AD">
            <w:pPr>
              <w:widowControl w:val="0"/>
              <w:spacing w:line="240" w:lineRule="exact"/>
              <w:ind w:firstLine="0" w:firstLineChars="0"/>
              <w:jc w:val="center"/>
              <w:rPr>
                <w:rFonts w:ascii="宋体" w:hAnsi="宋体" w:eastAsiaTheme="minorEastAsia" w:cstheme="minorEastAsia"/>
                <w:sz w:val="18"/>
                <w:szCs w:val="18"/>
                <w:highlight w:val="none"/>
              </w:rPr>
            </w:pPr>
            <w:bookmarkStart w:id="99" w:name="_bookmark19"/>
            <w:bookmarkEnd w:id="99"/>
            <w:bookmarkStart w:id="100" w:name="_bookmark17"/>
            <w:bookmarkEnd w:id="100"/>
            <w:r>
              <w:rPr>
                <w:rFonts w:hint="eastAsia" w:ascii="宋体" w:hAnsi="宋体" w:eastAsiaTheme="minorEastAsia" w:cstheme="minorEastAsia"/>
                <w:spacing w:val="14"/>
                <w:sz w:val="18"/>
                <w:szCs w:val="18"/>
                <w:highlight w:val="none"/>
              </w:rPr>
              <w:t>产</w:t>
            </w:r>
            <w:r>
              <w:rPr>
                <w:rFonts w:hint="eastAsia" w:ascii="宋体" w:hAnsi="宋体" w:eastAsiaTheme="minorEastAsia" w:cstheme="minorEastAsia"/>
                <w:spacing w:val="12"/>
                <w:sz w:val="18"/>
                <w:szCs w:val="18"/>
                <w:highlight w:val="none"/>
              </w:rPr>
              <w:t>出</w:t>
            </w:r>
          </w:p>
        </w:tc>
        <w:tc>
          <w:tcPr>
            <w:tcW w:w="2272" w:type="dxa"/>
            <w:vAlign w:val="bottom"/>
          </w:tcPr>
          <w:p w14:paraId="40D2F6DD">
            <w:pPr>
              <w:keepNext w:val="0"/>
              <w:keepLines w:val="0"/>
              <w:widowControl/>
              <w:suppressLineNumbers w:val="0"/>
              <w:ind w:firstLine="360" w:firstLineChars="200"/>
              <w:jc w:val="center"/>
              <w:textAlignment w:val="bottom"/>
              <w:rPr>
                <w:rFonts w:ascii="宋体" w:hAnsi="宋体" w:eastAsiaTheme="minorEastAsia" w:cstheme="minorEastAsia"/>
                <w:sz w:val="18"/>
                <w:szCs w:val="18"/>
                <w:highlight w:val="none"/>
              </w:rPr>
            </w:pPr>
            <w:r>
              <w:rPr>
                <w:rFonts w:hint="eastAsia" w:ascii="宋体" w:hAnsi="宋体" w:eastAsia="宋体" w:cs="宋体"/>
                <w:i w:val="0"/>
                <w:iCs w:val="0"/>
                <w:snapToGrid w:val="0"/>
                <w:color w:val="000000"/>
                <w:kern w:val="0"/>
                <w:sz w:val="18"/>
                <w:szCs w:val="18"/>
                <w:highlight w:val="none"/>
                <w:u w:val="none"/>
                <w:lang w:val="en-US" w:eastAsia="zh-CN" w:bidi="ar"/>
              </w:rPr>
              <w:t>35</w:t>
            </w:r>
          </w:p>
        </w:tc>
        <w:tc>
          <w:tcPr>
            <w:tcW w:w="2034" w:type="dxa"/>
            <w:vAlign w:val="bottom"/>
          </w:tcPr>
          <w:p w14:paraId="22823A05">
            <w:pPr>
              <w:keepNext w:val="0"/>
              <w:keepLines w:val="0"/>
              <w:widowControl/>
              <w:suppressLineNumbers w:val="0"/>
              <w:ind w:firstLine="360" w:firstLineChars="200"/>
              <w:jc w:val="center"/>
              <w:textAlignment w:val="bottom"/>
              <w:rPr>
                <w:rFonts w:ascii="宋体" w:hAnsi="宋体" w:eastAsiaTheme="minorEastAsia" w:cstheme="minorEastAsia"/>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30.5</w:t>
            </w:r>
          </w:p>
        </w:tc>
        <w:tc>
          <w:tcPr>
            <w:tcW w:w="2188" w:type="dxa"/>
            <w:vAlign w:val="bottom"/>
          </w:tcPr>
          <w:p w14:paraId="53AD9A90">
            <w:pPr>
              <w:keepNext w:val="0"/>
              <w:keepLines w:val="0"/>
              <w:widowControl/>
              <w:suppressLineNumbers w:val="0"/>
              <w:ind w:firstLine="360" w:firstLineChars="200"/>
              <w:jc w:val="center"/>
              <w:textAlignment w:val="bottom"/>
              <w:rPr>
                <w:rFonts w:ascii="宋体" w:hAnsi="宋体" w:eastAsiaTheme="minorEastAsia" w:cstheme="minorEastAsia"/>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87.14%</w:t>
            </w:r>
          </w:p>
        </w:tc>
      </w:tr>
      <w:tr w14:paraId="24601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788" w:type="dxa"/>
            <w:vAlign w:val="center"/>
          </w:tcPr>
          <w:p w14:paraId="17CE72AB">
            <w:pPr>
              <w:widowControl w:val="0"/>
              <w:spacing w:line="240" w:lineRule="exact"/>
              <w:ind w:firstLine="0" w:firstLineChars="0"/>
              <w:jc w:val="center"/>
              <w:rPr>
                <w:rFonts w:ascii="宋体" w:hAnsi="宋体" w:eastAsiaTheme="minorEastAsia" w:cstheme="minorEastAsia"/>
                <w:sz w:val="18"/>
                <w:szCs w:val="18"/>
                <w:highlight w:val="none"/>
              </w:rPr>
            </w:pPr>
            <w:r>
              <w:rPr>
                <w:rFonts w:hint="eastAsia" w:ascii="宋体" w:hAnsi="宋体" w:eastAsiaTheme="minorEastAsia" w:cstheme="minorEastAsia"/>
                <w:spacing w:val="5"/>
                <w:sz w:val="18"/>
                <w:szCs w:val="18"/>
                <w:highlight w:val="none"/>
              </w:rPr>
              <w:t>效</w:t>
            </w:r>
            <w:r>
              <w:rPr>
                <w:rFonts w:hint="eastAsia" w:ascii="宋体" w:hAnsi="宋体" w:eastAsiaTheme="minorEastAsia" w:cstheme="minorEastAsia"/>
                <w:spacing w:val="3"/>
                <w:sz w:val="18"/>
                <w:szCs w:val="18"/>
                <w:highlight w:val="none"/>
              </w:rPr>
              <w:t>益</w:t>
            </w:r>
          </w:p>
        </w:tc>
        <w:tc>
          <w:tcPr>
            <w:tcW w:w="2272" w:type="dxa"/>
            <w:vAlign w:val="bottom"/>
          </w:tcPr>
          <w:p w14:paraId="3F9DA650">
            <w:pPr>
              <w:keepNext w:val="0"/>
              <w:keepLines w:val="0"/>
              <w:widowControl/>
              <w:suppressLineNumbers w:val="0"/>
              <w:ind w:firstLine="360" w:firstLineChars="200"/>
              <w:jc w:val="center"/>
              <w:textAlignment w:val="bottom"/>
              <w:rPr>
                <w:rFonts w:ascii="宋体" w:hAnsi="宋体" w:eastAsiaTheme="minorEastAsia" w:cstheme="minorEastAsia"/>
                <w:sz w:val="18"/>
                <w:szCs w:val="18"/>
                <w:highlight w:val="none"/>
              </w:rPr>
            </w:pPr>
            <w:r>
              <w:rPr>
                <w:rFonts w:hint="eastAsia" w:ascii="宋体" w:hAnsi="宋体" w:eastAsia="宋体" w:cs="宋体"/>
                <w:i w:val="0"/>
                <w:iCs w:val="0"/>
                <w:snapToGrid w:val="0"/>
                <w:color w:val="000000"/>
                <w:kern w:val="0"/>
                <w:sz w:val="18"/>
                <w:szCs w:val="18"/>
                <w:highlight w:val="none"/>
                <w:u w:val="none"/>
                <w:lang w:val="en-US" w:eastAsia="zh-CN" w:bidi="ar"/>
              </w:rPr>
              <w:t>20</w:t>
            </w:r>
          </w:p>
        </w:tc>
        <w:tc>
          <w:tcPr>
            <w:tcW w:w="2034" w:type="dxa"/>
            <w:vAlign w:val="bottom"/>
          </w:tcPr>
          <w:p w14:paraId="0FAADAE6">
            <w:pPr>
              <w:keepNext w:val="0"/>
              <w:keepLines w:val="0"/>
              <w:widowControl/>
              <w:suppressLineNumbers w:val="0"/>
              <w:ind w:firstLine="360" w:firstLineChars="200"/>
              <w:jc w:val="center"/>
              <w:textAlignment w:val="bottom"/>
              <w:rPr>
                <w:rFonts w:ascii="宋体" w:hAnsi="宋体" w:eastAsiaTheme="minorEastAsia" w:cstheme="minorEastAsia"/>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2188" w:type="dxa"/>
            <w:vAlign w:val="bottom"/>
          </w:tcPr>
          <w:p w14:paraId="4C67C7F3">
            <w:pPr>
              <w:keepNext w:val="0"/>
              <w:keepLines w:val="0"/>
              <w:widowControl/>
              <w:suppressLineNumbers w:val="0"/>
              <w:ind w:firstLine="360" w:firstLineChars="200"/>
              <w:jc w:val="center"/>
              <w:textAlignment w:val="bottom"/>
              <w:rPr>
                <w:rFonts w:ascii="宋体" w:hAnsi="宋体" w:eastAsiaTheme="minorEastAsia" w:cstheme="minorEastAsia"/>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100.00%</w:t>
            </w:r>
          </w:p>
        </w:tc>
      </w:tr>
      <w:tr w14:paraId="06E8F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788" w:type="dxa"/>
            <w:vAlign w:val="center"/>
          </w:tcPr>
          <w:p w14:paraId="2F56E75D">
            <w:pPr>
              <w:widowControl w:val="0"/>
              <w:spacing w:line="240" w:lineRule="exact"/>
              <w:ind w:firstLine="0" w:firstLineChars="0"/>
              <w:jc w:val="center"/>
              <w:rPr>
                <w:rFonts w:ascii="宋体" w:hAnsi="宋体" w:eastAsiaTheme="minorEastAsia" w:cstheme="minorEastAsia"/>
                <w:b/>
                <w:bCs/>
                <w:sz w:val="18"/>
                <w:szCs w:val="18"/>
                <w:highlight w:val="none"/>
              </w:rPr>
            </w:pPr>
            <w:r>
              <w:rPr>
                <w:rFonts w:hint="eastAsia" w:ascii="宋体" w:hAnsi="宋体" w:eastAsiaTheme="minorEastAsia" w:cstheme="minorEastAsia"/>
                <w:b/>
                <w:bCs/>
                <w:spacing w:val="7"/>
                <w:sz w:val="18"/>
                <w:szCs w:val="18"/>
                <w:highlight w:val="none"/>
              </w:rPr>
              <w:t>合</w:t>
            </w:r>
            <w:r>
              <w:rPr>
                <w:rFonts w:hint="eastAsia" w:ascii="宋体" w:hAnsi="宋体" w:eastAsiaTheme="minorEastAsia" w:cstheme="minorEastAsia"/>
                <w:b/>
                <w:bCs/>
                <w:spacing w:val="5"/>
                <w:sz w:val="18"/>
                <w:szCs w:val="18"/>
                <w:highlight w:val="none"/>
              </w:rPr>
              <w:t>计</w:t>
            </w:r>
          </w:p>
        </w:tc>
        <w:tc>
          <w:tcPr>
            <w:tcW w:w="2272" w:type="dxa"/>
            <w:vAlign w:val="bottom"/>
          </w:tcPr>
          <w:p w14:paraId="4D10FD60">
            <w:pPr>
              <w:keepNext w:val="0"/>
              <w:keepLines w:val="0"/>
              <w:widowControl/>
              <w:suppressLineNumbers w:val="0"/>
              <w:ind w:firstLine="361" w:firstLineChars="200"/>
              <w:jc w:val="center"/>
              <w:textAlignment w:val="bottom"/>
              <w:rPr>
                <w:rFonts w:ascii="宋体" w:hAnsi="宋体" w:eastAsiaTheme="minorEastAsia" w:cstheme="minorEastAsia"/>
                <w:b/>
                <w:bCs/>
                <w:sz w:val="18"/>
                <w:szCs w:val="18"/>
                <w:highlight w:val="none"/>
              </w:rPr>
            </w:pPr>
            <w:r>
              <w:rPr>
                <w:rFonts w:hint="eastAsia" w:ascii="宋体" w:hAnsi="宋体" w:eastAsia="宋体" w:cs="宋体"/>
                <w:b/>
                <w:bCs/>
                <w:i w:val="0"/>
                <w:iCs w:val="0"/>
                <w:snapToGrid w:val="0"/>
                <w:color w:val="000000"/>
                <w:kern w:val="0"/>
                <w:sz w:val="18"/>
                <w:szCs w:val="18"/>
                <w:highlight w:val="none"/>
                <w:u w:val="none"/>
                <w:lang w:val="en-US" w:eastAsia="zh-CN" w:bidi="ar"/>
              </w:rPr>
              <w:t>100</w:t>
            </w:r>
          </w:p>
        </w:tc>
        <w:tc>
          <w:tcPr>
            <w:tcW w:w="2034" w:type="dxa"/>
            <w:vAlign w:val="bottom"/>
          </w:tcPr>
          <w:p w14:paraId="55F954A9">
            <w:pPr>
              <w:keepNext w:val="0"/>
              <w:keepLines w:val="0"/>
              <w:widowControl/>
              <w:suppressLineNumbers w:val="0"/>
              <w:ind w:firstLine="361" w:firstLineChars="200"/>
              <w:jc w:val="center"/>
              <w:textAlignment w:val="bottom"/>
              <w:rPr>
                <w:rFonts w:hint="eastAsia" w:ascii="宋体" w:hAnsi="宋体" w:eastAsiaTheme="minorEastAsia" w:cstheme="minorEastAsia"/>
                <w:b/>
                <w:bCs/>
                <w:sz w:val="18"/>
                <w:szCs w:val="18"/>
                <w:highlight w:val="none"/>
                <w:lang w:eastAsia="zh-CN"/>
              </w:rPr>
            </w:pPr>
            <w:r>
              <w:rPr>
                <w:rFonts w:hint="eastAsia" w:ascii="宋体" w:hAnsi="宋体" w:eastAsia="宋体" w:cs="宋体"/>
                <w:b/>
                <w:bCs/>
                <w:i w:val="0"/>
                <w:iCs w:val="0"/>
                <w:snapToGrid w:val="0"/>
                <w:color w:val="000000"/>
                <w:kern w:val="0"/>
                <w:sz w:val="18"/>
                <w:szCs w:val="18"/>
                <w:u w:val="none"/>
                <w:lang w:val="en-US" w:eastAsia="zh-CN" w:bidi="ar"/>
              </w:rPr>
              <w:t>92.92</w:t>
            </w:r>
          </w:p>
        </w:tc>
        <w:tc>
          <w:tcPr>
            <w:tcW w:w="2188" w:type="dxa"/>
            <w:vAlign w:val="bottom"/>
          </w:tcPr>
          <w:p w14:paraId="23787AB8">
            <w:pPr>
              <w:keepNext w:val="0"/>
              <w:keepLines w:val="0"/>
              <w:widowControl/>
              <w:suppressLineNumbers w:val="0"/>
              <w:ind w:firstLine="361" w:firstLineChars="200"/>
              <w:jc w:val="center"/>
              <w:textAlignment w:val="bottom"/>
              <w:rPr>
                <w:rFonts w:ascii="宋体" w:hAnsi="宋体" w:eastAsiaTheme="minorEastAsia" w:cstheme="minorEastAsia"/>
                <w:b/>
                <w:bCs/>
                <w:sz w:val="18"/>
                <w:szCs w:val="18"/>
                <w:highlight w:val="none"/>
              </w:rPr>
            </w:pPr>
            <w:r>
              <w:rPr>
                <w:rFonts w:hint="eastAsia" w:ascii="宋体" w:hAnsi="宋体" w:eastAsia="宋体" w:cs="宋体"/>
                <w:b/>
                <w:bCs/>
                <w:i w:val="0"/>
                <w:iCs w:val="0"/>
                <w:snapToGrid w:val="0"/>
                <w:color w:val="000000"/>
                <w:kern w:val="0"/>
                <w:sz w:val="18"/>
                <w:szCs w:val="18"/>
                <w:u w:val="none"/>
                <w:lang w:val="en-US" w:eastAsia="zh-CN" w:bidi="ar"/>
              </w:rPr>
              <w:t>92.92%</w:t>
            </w:r>
          </w:p>
        </w:tc>
      </w:tr>
    </w:tbl>
    <w:p w14:paraId="376D8EDC">
      <w:pPr>
        <w:pStyle w:val="2"/>
        <w:keepNext/>
        <w:keepLines/>
        <w:pageBreakBefore w:val="0"/>
        <w:widowControl/>
        <w:kinsoku w:val="0"/>
        <w:wordWrap/>
        <w:overflowPunct/>
        <w:topLinePunct w:val="0"/>
        <w:autoSpaceDE w:val="0"/>
        <w:autoSpaceDN w:val="0"/>
        <w:bidi w:val="0"/>
        <w:adjustRightInd w:val="0"/>
        <w:snapToGrid w:val="0"/>
        <w:spacing w:before="0" w:beforeLines="50" w:line="360" w:lineRule="auto"/>
        <w:ind w:left="150" w:leftChars="50" w:firstLine="562" w:firstLineChars="200"/>
        <w:textAlignment w:val="baseline"/>
        <w:rPr>
          <w:rFonts w:ascii="宋体" w:hAnsi="宋体"/>
          <w:sz w:val="28"/>
          <w:szCs w:val="28"/>
        </w:rPr>
      </w:pPr>
      <w:bookmarkStart w:id="101" w:name="_bookmark9"/>
      <w:bookmarkEnd w:id="101"/>
      <w:bookmarkStart w:id="102" w:name="_Toc21"/>
      <w:bookmarkStart w:id="103" w:name="_Toc2240"/>
      <w:bookmarkStart w:id="104" w:name="_Toc12806"/>
      <w:r>
        <w:rPr>
          <w:rFonts w:hint="eastAsia" w:ascii="宋体" w:hAnsi="宋体"/>
          <w:sz w:val="28"/>
          <w:szCs w:val="28"/>
        </w:rPr>
        <w:t>四、绩效评价指标分析</w:t>
      </w:r>
      <w:bookmarkEnd w:id="102"/>
      <w:bookmarkEnd w:id="103"/>
      <w:bookmarkEnd w:id="104"/>
    </w:p>
    <w:p w14:paraId="0A212A28">
      <w:pPr>
        <w:pStyle w:val="3"/>
        <w:keepNext/>
        <w:keepLines/>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ascii="宋体" w:hAnsi="宋体"/>
          <w:sz w:val="28"/>
          <w:szCs w:val="28"/>
        </w:rPr>
      </w:pPr>
      <w:bookmarkStart w:id="105" w:name="_bookmark15"/>
      <w:bookmarkEnd w:id="105"/>
      <w:bookmarkStart w:id="106" w:name="_bookmark10"/>
      <w:bookmarkEnd w:id="106"/>
      <w:bookmarkStart w:id="107" w:name="_bookmark14"/>
      <w:bookmarkEnd w:id="107"/>
      <w:bookmarkStart w:id="108" w:name="_Toc3633"/>
      <w:bookmarkStart w:id="109" w:name="_Toc7893"/>
      <w:bookmarkStart w:id="110" w:name="_Toc6012"/>
      <w:r>
        <w:rPr>
          <w:rFonts w:hint="eastAsia" w:ascii="宋体" w:hAnsi="宋体"/>
          <w:sz w:val="28"/>
          <w:szCs w:val="28"/>
        </w:rPr>
        <w:t>（一）决策情况分析</w:t>
      </w:r>
      <w:bookmarkEnd w:id="108"/>
      <w:bookmarkEnd w:id="109"/>
      <w:bookmarkEnd w:id="110"/>
    </w:p>
    <w:p w14:paraId="21A58133">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spacing w:val="6"/>
          <w:sz w:val="28"/>
          <w:szCs w:val="28"/>
        </w:rPr>
      </w:pPr>
      <w:r>
        <w:rPr>
          <w:rFonts w:hint="eastAsia" w:ascii="宋体" w:hAnsi="宋体" w:cs="仿宋_GB2312"/>
          <w:color w:val="333333"/>
          <w:spacing w:val="6"/>
          <w:sz w:val="28"/>
          <w:szCs w:val="28"/>
          <w:shd w:val="clear" w:color="auto" w:fill="FFFFFF"/>
        </w:rPr>
        <w:t>“决策”指标涉及二级指标3个，三级指标6个。总分值为25分，得分2</w:t>
      </w:r>
      <w:r>
        <w:rPr>
          <w:rFonts w:hint="eastAsia" w:ascii="宋体" w:hAnsi="宋体" w:cs="仿宋_GB2312"/>
          <w:color w:val="333333"/>
          <w:spacing w:val="6"/>
          <w:sz w:val="28"/>
          <w:szCs w:val="28"/>
          <w:shd w:val="clear" w:color="auto" w:fill="FFFFFF"/>
          <w:lang w:val="en-US" w:eastAsia="zh-CN"/>
        </w:rPr>
        <w:t>5</w:t>
      </w:r>
      <w:r>
        <w:rPr>
          <w:rFonts w:hint="eastAsia" w:ascii="宋体" w:hAnsi="宋体" w:cs="仿宋_GB2312"/>
          <w:color w:val="333333"/>
          <w:spacing w:val="6"/>
          <w:sz w:val="28"/>
          <w:szCs w:val="28"/>
          <w:shd w:val="clear" w:color="auto" w:fill="FFFFFF"/>
        </w:rPr>
        <w:t>分，得分率为</w:t>
      </w:r>
      <w:r>
        <w:rPr>
          <w:rFonts w:hint="eastAsia" w:ascii="宋体" w:hAnsi="宋体" w:cs="仿宋_GB2312"/>
          <w:color w:val="333333"/>
          <w:spacing w:val="6"/>
          <w:sz w:val="28"/>
          <w:szCs w:val="28"/>
          <w:shd w:val="clear" w:color="auto" w:fill="FFFFFF"/>
          <w:lang w:val="en-US" w:eastAsia="zh-CN"/>
        </w:rPr>
        <w:t>100</w:t>
      </w:r>
      <w:r>
        <w:rPr>
          <w:rFonts w:hint="eastAsia" w:ascii="宋体" w:hAnsi="宋体" w:cs="仿宋_GB2312"/>
          <w:color w:val="333333"/>
          <w:spacing w:val="6"/>
          <w:sz w:val="28"/>
          <w:szCs w:val="28"/>
          <w:shd w:val="clear" w:color="auto" w:fill="FFFFFF"/>
        </w:rPr>
        <w:t>%。</w:t>
      </w:r>
    </w:p>
    <w:p w14:paraId="038F01C6">
      <w:pPr>
        <w:pStyle w:val="4"/>
        <w:pageBreakBefore w:val="0"/>
        <w:wordWrap/>
        <w:overflowPunct/>
        <w:topLinePunct w:val="0"/>
        <w:bidi w:val="0"/>
        <w:spacing w:line="600" w:lineRule="exact"/>
        <w:ind w:firstLine="600"/>
        <w:textAlignment w:val="baseline"/>
        <w:rPr>
          <w:rFonts w:ascii="宋体" w:hAnsi="宋体"/>
          <w:sz w:val="28"/>
          <w:szCs w:val="28"/>
        </w:rPr>
      </w:pPr>
      <w:bookmarkStart w:id="111" w:name="_Toc30191"/>
      <w:bookmarkStart w:id="112" w:name="_Toc29163"/>
      <w:bookmarkStart w:id="113" w:name="_Toc29623"/>
      <w:r>
        <w:rPr>
          <w:rFonts w:hint="eastAsia" w:ascii="宋体" w:hAnsi="宋体"/>
          <w:sz w:val="28"/>
          <w:szCs w:val="28"/>
        </w:rPr>
        <w:t>1.项目立项（满分8分，得分8分）</w:t>
      </w:r>
      <w:bookmarkEnd w:id="111"/>
      <w:bookmarkEnd w:id="112"/>
      <w:bookmarkEnd w:id="113"/>
    </w:p>
    <w:p w14:paraId="230252EE">
      <w:pPr>
        <w:pStyle w:val="5"/>
        <w:pageBreakBefore w:val="0"/>
        <w:wordWrap/>
        <w:overflowPunct/>
        <w:topLinePunct w:val="0"/>
        <w:bidi w:val="0"/>
        <w:spacing w:line="600" w:lineRule="exact"/>
        <w:ind w:firstLine="600"/>
        <w:textAlignment w:val="baseline"/>
        <w:rPr>
          <w:rFonts w:ascii="宋体" w:hAnsi="宋体"/>
          <w:sz w:val="28"/>
          <w:szCs w:val="28"/>
        </w:rPr>
      </w:pPr>
      <w:r>
        <w:rPr>
          <w:rFonts w:hint="eastAsia" w:ascii="宋体" w:hAnsi="宋体"/>
          <w:sz w:val="28"/>
          <w:szCs w:val="28"/>
        </w:rPr>
        <w:t>（1）立项依据充分性</w:t>
      </w:r>
    </w:p>
    <w:p w14:paraId="0A7405E1">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指标分值4分，得4分。本项目在经营期内能够维持微利，具有较好的经济效益，同时本项目作为公益性项目</w:t>
      </w:r>
      <w:r>
        <w:rPr>
          <w:rFonts w:hint="eastAsia" w:ascii="宋体" w:hAnsi="宋体" w:cs="仿宋_GB2312"/>
          <w:color w:val="333333"/>
          <w:spacing w:val="6"/>
          <w:sz w:val="28"/>
          <w:szCs w:val="28"/>
          <w:highlight w:val="none"/>
          <w:shd w:val="clear" w:color="auto" w:fill="FFFFFF"/>
        </w:rPr>
        <w:t>，能够进</w:t>
      </w:r>
      <w:r>
        <w:rPr>
          <w:rFonts w:hint="eastAsia" w:ascii="宋体" w:hAnsi="宋体" w:cs="仿宋_GB2312"/>
          <w:color w:val="333333"/>
          <w:spacing w:val="6"/>
          <w:sz w:val="28"/>
          <w:szCs w:val="28"/>
          <w:shd w:val="clear" w:color="auto" w:fill="FFFFFF"/>
        </w:rPr>
        <w:t>一步提高医院的治疗条件和综合实力,改善医院的医疗条件，创造一个良好的整体医疗环境，满足人民群众对就医条件越来越高的要求，符合专项债券支持领域和方向情况。</w:t>
      </w:r>
    </w:p>
    <w:p w14:paraId="6868CD6C">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hint="eastAsia"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本项目符合《长春宽城经济开发区第十四个五年规划纲要》和《长春宽城经济开发区发展战略规划（2020-2035年）》。同时符合《吉林省人民政府办公厅关于印发吉林省医疗卫生服务体系规划（2015-2020年）的通知》的要求。</w:t>
      </w:r>
    </w:p>
    <w:p w14:paraId="33F0C9E7">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本项目已纳入财政部地方政府债务管理系统项目库和发改委国家重大项目建设库。</w:t>
      </w:r>
    </w:p>
    <w:p w14:paraId="4E43134A">
      <w:pPr>
        <w:pStyle w:val="5"/>
        <w:pageBreakBefore w:val="0"/>
        <w:wordWrap/>
        <w:overflowPunct/>
        <w:topLinePunct w:val="0"/>
        <w:bidi w:val="0"/>
        <w:spacing w:line="600" w:lineRule="exact"/>
        <w:ind w:firstLine="600"/>
        <w:textAlignment w:val="baseline"/>
        <w:rPr>
          <w:rFonts w:hint="eastAsia" w:ascii="宋体" w:hAnsi="宋体"/>
          <w:sz w:val="28"/>
          <w:szCs w:val="28"/>
        </w:rPr>
      </w:pPr>
      <w:r>
        <w:rPr>
          <w:rFonts w:hint="eastAsia" w:ascii="宋体" w:hAnsi="宋体"/>
          <w:sz w:val="28"/>
          <w:szCs w:val="28"/>
        </w:rPr>
        <w:t>本项目总投资、申请地方政府专项债券资金和项目资本金已列入长春市宽城经济开发区财政局预算，纳入政府性基金预算管理。</w:t>
      </w:r>
    </w:p>
    <w:p w14:paraId="6663C7EB">
      <w:pPr>
        <w:pStyle w:val="5"/>
        <w:pageBreakBefore w:val="0"/>
        <w:wordWrap/>
        <w:overflowPunct/>
        <w:topLinePunct w:val="0"/>
        <w:bidi w:val="0"/>
        <w:spacing w:line="600" w:lineRule="exact"/>
        <w:ind w:firstLine="600"/>
        <w:textAlignment w:val="baseline"/>
        <w:rPr>
          <w:rFonts w:ascii="宋体" w:hAnsi="宋体"/>
          <w:sz w:val="28"/>
          <w:szCs w:val="28"/>
        </w:rPr>
      </w:pPr>
      <w:r>
        <w:rPr>
          <w:rFonts w:hint="eastAsia" w:ascii="宋体" w:hAnsi="宋体"/>
          <w:sz w:val="28"/>
          <w:szCs w:val="28"/>
        </w:rPr>
        <w:t>（2）立项程序规范性</w:t>
      </w:r>
    </w:p>
    <w:p w14:paraId="3514BE92">
      <w:pPr>
        <w:pStyle w:val="11"/>
        <w:pageBreakBefore w:val="0"/>
        <w:widowControl w:val="0"/>
        <w:kinsoku/>
        <w:wordWrap/>
        <w:overflowPunct/>
        <w:topLinePunct w:val="0"/>
        <w:autoSpaceDE/>
        <w:autoSpaceDN/>
        <w:bidi w:val="0"/>
        <w:adjustRightInd/>
        <w:snapToGrid/>
        <w:spacing w:beforeAutospacing="0" w:afterAutospacing="0" w:line="600" w:lineRule="exact"/>
        <w:ind w:firstLine="612"/>
        <w:jc w:val="both"/>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指标分值4分，得4分。长春市规划和自然资源局于2021年5月13日颁发了《建设项目用地预审与选址意见书》。</w:t>
      </w:r>
    </w:p>
    <w:p w14:paraId="2134CF73">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长春市规划和自然资源局于2022年5月18日颁发了《建设用地规划许可证》。</w:t>
      </w:r>
    </w:p>
    <w:p w14:paraId="5F857193">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2021年12月，华设设计集团股份有限公司出具《长春市宽城区卫生综合体建设项目工程可行性研究报告（调整</w:t>
      </w:r>
      <w:r>
        <w:rPr>
          <w:rFonts w:hint="eastAsia" w:ascii="宋体" w:hAnsi="宋体" w:cs="仿宋_GB2312"/>
          <w:color w:val="333333"/>
          <w:spacing w:val="6"/>
          <w:sz w:val="28"/>
          <w:szCs w:val="28"/>
          <w:shd w:val="clear" w:color="auto" w:fill="FFFFFF"/>
          <w:lang w:val="en-US" w:eastAsia="zh-CN"/>
        </w:rPr>
        <w:t>版</w:t>
      </w:r>
      <w:r>
        <w:rPr>
          <w:rFonts w:hint="eastAsia" w:ascii="宋体" w:hAnsi="宋体" w:cs="仿宋_GB2312"/>
          <w:color w:val="333333"/>
          <w:spacing w:val="6"/>
          <w:sz w:val="28"/>
          <w:szCs w:val="28"/>
          <w:shd w:val="clear" w:color="auto" w:fill="FFFFFF"/>
        </w:rPr>
        <w:t>）》。</w:t>
      </w:r>
    </w:p>
    <w:p w14:paraId="1F5649D6">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长春市宽城区发展和改革局于2022年1月5日作出了《关于再次调整长春市宽城区卫生综合体建设项目可行性研究报告批复的通知》（长宽发改字【2022】2号）。</w:t>
      </w:r>
    </w:p>
    <w:p w14:paraId="65273B8D">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2022年1月27日，长春市生态环境局宽城区分局出具了《关于长春市宽城区卫生综合体建设项目环境影响报告书的批复》（长环宽审（书）【2022】001号）。</w:t>
      </w:r>
    </w:p>
    <w:p w14:paraId="280C8091">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2023年3月29日，长春市城乡建设委员会颁发了《建筑工程施工许可证》（编号220103202303290201）。</w:t>
      </w:r>
    </w:p>
    <w:p w14:paraId="562AEF29">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综上所述，本项目申报的政策依据与程序较为规范。</w:t>
      </w:r>
    </w:p>
    <w:p w14:paraId="4D34651F">
      <w:pPr>
        <w:pStyle w:val="4"/>
        <w:pageBreakBefore w:val="0"/>
        <w:wordWrap/>
        <w:overflowPunct/>
        <w:topLinePunct w:val="0"/>
        <w:bidi w:val="0"/>
        <w:spacing w:line="600" w:lineRule="exact"/>
        <w:ind w:firstLine="600"/>
        <w:textAlignment w:val="baseline"/>
        <w:rPr>
          <w:rFonts w:ascii="宋体" w:hAnsi="宋体"/>
          <w:sz w:val="28"/>
          <w:szCs w:val="28"/>
        </w:rPr>
      </w:pPr>
      <w:bookmarkStart w:id="114" w:name="_Toc31012"/>
      <w:bookmarkStart w:id="115" w:name="_Toc21021"/>
      <w:bookmarkStart w:id="116" w:name="_Toc1343"/>
      <w:r>
        <w:rPr>
          <w:rFonts w:hint="eastAsia" w:ascii="宋体" w:hAnsi="宋体"/>
          <w:sz w:val="28"/>
          <w:szCs w:val="28"/>
        </w:rPr>
        <w:t>2.绩效目标（满分9分，得分9分）</w:t>
      </w:r>
      <w:bookmarkEnd w:id="114"/>
      <w:bookmarkEnd w:id="115"/>
      <w:bookmarkEnd w:id="116"/>
    </w:p>
    <w:p w14:paraId="6C38AB0D">
      <w:pPr>
        <w:pStyle w:val="5"/>
        <w:pageBreakBefore w:val="0"/>
        <w:wordWrap/>
        <w:overflowPunct/>
        <w:topLinePunct w:val="0"/>
        <w:bidi w:val="0"/>
        <w:spacing w:line="600" w:lineRule="exact"/>
        <w:ind w:firstLine="600"/>
        <w:textAlignment w:val="baseline"/>
        <w:rPr>
          <w:rFonts w:ascii="宋体" w:hAnsi="宋体"/>
          <w:sz w:val="28"/>
          <w:szCs w:val="28"/>
        </w:rPr>
      </w:pPr>
      <w:r>
        <w:rPr>
          <w:rFonts w:hint="eastAsia" w:ascii="宋体" w:hAnsi="宋体"/>
          <w:sz w:val="28"/>
          <w:szCs w:val="28"/>
        </w:rPr>
        <w:t>（1）绩效目标合理性</w:t>
      </w:r>
    </w:p>
    <w:p w14:paraId="2A8C7EB6">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spacing w:val="6"/>
          <w:sz w:val="28"/>
          <w:szCs w:val="28"/>
        </w:rPr>
      </w:pPr>
      <w:r>
        <w:rPr>
          <w:rFonts w:hint="eastAsia" w:ascii="宋体" w:hAnsi="宋体" w:cs="仿宋_GB2312"/>
          <w:color w:val="333333"/>
          <w:spacing w:val="6"/>
          <w:sz w:val="28"/>
          <w:szCs w:val="28"/>
          <w:shd w:val="clear" w:color="auto" w:fill="FFFFFF"/>
        </w:rPr>
        <w:t>指标分值4分，得4分。依据长春市宽城区卫生综合体建设项目《地方政府专项债券项目绩效目标申报表》，申报表中设立绩效目标，绩效目标与预算确定的项目资金量相匹配。</w:t>
      </w:r>
    </w:p>
    <w:p w14:paraId="2085B46C">
      <w:pPr>
        <w:pStyle w:val="5"/>
        <w:pageBreakBefore w:val="0"/>
        <w:wordWrap/>
        <w:overflowPunct/>
        <w:topLinePunct w:val="0"/>
        <w:bidi w:val="0"/>
        <w:spacing w:line="600" w:lineRule="exact"/>
        <w:ind w:firstLine="600"/>
        <w:textAlignment w:val="baseline"/>
        <w:rPr>
          <w:rFonts w:ascii="宋体" w:hAnsi="宋体"/>
          <w:sz w:val="28"/>
          <w:szCs w:val="28"/>
        </w:rPr>
      </w:pPr>
      <w:r>
        <w:rPr>
          <w:rFonts w:hint="eastAsia" w:ascii="宋体" w:hAnsi="宋体"/>
          <w:sz w:val="28"/>
          <w:szCs w:val="28"/>
        </w:rPr>
        <w:t>（2）绩效指标明确性</w:t>
      </w:r>
    </w:p>
    <w:p w14:paraId="5A3012F6">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spacing w:val="6"/>
          <w:sz w:val="28"/>
          <w:szCs w:val="28"/>
        </w:rPr>
      </w:pPr>
      <w:r>
        <w:rPr>
          <w:rFonts w:hint="eastAsia" w:ascii="宋体" w:hAnsi="宋体" w:cs="仿宋_GB2312"/>
          <w:color w:val="333333"/>
          <w:spacing w:val="6"/>
          <w:sz w:val="28"/>
          <w:szCs w:val="28"/>
          <w:shd w:val="clear" w:color="auto" w:fill="FFFFFF"/>
        </w:rPr>
        <w:t>指标分值5分，得5分。</w:t>
      </w:r>
      <w:r>
        <w:rPr>
          <w:rFonts w:hint="eastAsia" w:ascii="宋体" w:hAnsi="宋体" w:cs="仿宋_GB2312"/>
          <w:color w:val="333333"/>
          <w:spacing w:val="6"/>
          <w:sz w:val="28"/>
          <w:szCs w:val="28"/>
          <w:highlight w:val="none"/>
          <w:shd w:val="clear" w:color="auto" w:fill="FFFFFF"/>
        </w:rPr>
        <w:t>依据长春市</w:t>
      </w:r>
      <w:r>
        <w:rPr>
          <w:rFonts w:hint="eastAsia" w:ascii="宋体" w:hAnsi="宋体" w:cs="仿宋_GB2312"/>
          <w:color w:val="333333"/>
          <w:spacing w:val="6"/>
          <w:sz w:val="28"/>
          <w:szCs w:val="28"/>
          <w:shd w:val="clear" w:color="auto" w:fill="FFFFFF"/>
        </w:rPr>
        <w:t>宽城区卫生综合体建设项目《专项债券项目绩效目标申报表》，申报表中将项目绩效目标细化分解为具体的绩效指标，与项目目标任务数或计划数相对应。</w:t>
      </w:r>
    </w:p>
    <w:p w14:paraId="4F552B78">
      <w:pPr>
        <w:pStyle w:val="4"/>
        <w:pageBreakBefore w:val="0"/>
        <w:wordWrap/>
        <w:overflowPunct/>
        <w:topLinePunct w:val="0"/>
        <w:bidi w:val="0"/>
        <w:spacing w:line="600" w:lineRule="exact"/>
        <w:ind w:firstLine="600"/>
        <w:textAlignment w:val="baseline"/>
        <w:rPr>
          <w:rFonts w:ascii="宋体" w:hAnsi="宋体"/>
          <w:sz w:val="28"/>
          <w:szCs w:val="28"/>
        </w:rPr>
      </w:pPr>
      <w:bookmarkStart w:id="117" w:name="_Toc3704"/>
      <w:bookmarkStart w:id="118" w:name="_Toc6462"/>
      <w:bookmarkStart w:id="119" w:name="_Toc28891"/>
      <w:r>
        <w:rPr>
          <w:rFonts w:hint="eastAsia" w:ascii="宋体" w:hAnsi="宋体"/>
          <w:sz w:val="28"/>
          <w:szCs w:val="28"/>
        </w:rPr>
        <w:t>3.资金分配（满分8分，得分</w:t>
      </w:r>
      <w:r>
        <w:rPr>
          <w:rFonts w:hint="eastAsia" w:ascii="宋体" w:hAnsi="宋体"/>
          <w:sz w:val="28"/>
          <w:szCs w:val="28"/>
          <w:lang w:val="en-US" w:eastAsia="zh-CN"/>
        </w:rPr>
        <w:t>8</w:t>
      </w:r>
      <w:r>
        <w:rPr>
          <w:rFonts w:hint="eastAsia" w:ascii="宋体" w:hAnsi="宋体"/>
          <w:sz w:val="28"/>
          <w:szCs w:val="28"/>
        </w:rPr>
        <w:t>分）</w:t>
      </w:r>
      <w:bookmarkEnd w:id="117"/>
      <w:bookmarkEnd w:id="118"/>
      <w:bookmarkEnd w:id="119"/>
    </w:p>
    <w:p w14:paraId="1F9AF9F0">
      <w:pPr>
        <w:pStyle w:val="5"/>
        <w:pageBreakBefore w:val="0"/>
        <w:wordWrap/>
        <w:overflowPunct/>
        <w:topLinePunct w:val="0"/>
        <w:bidi w:val="0"/>
        <w:spacing w:line="600" w:lineRule="exact"/>
        <w:ind w:firstLine="600"/>
        <w:textAlignment w:val="baseline"/>
        <w:rPr>
          <w:rFonts w:ascii="宋体" w:hAnsi="宋体"/>
          <w:sz w:val="28"/>
          <w:szCs w:val="28"/>
        </w:rPr>
      </w:pPr>
      <w:r>
        <w:rPr>
          <w:rFonts w:hint="eastAsia" w:ascii="宋体" w:hAnsi="宋体"/>
          <w:sz w:val="28"/>
          <w:szCs w:val="28"/>
        </w:rPr>
        <w:t>（1）平衡方案编制科学性</w:t>
      </w:r>
    </w:p>
    <w:p w14:paraId="1D03B16C">
      <w:pPr>
        <w:pStyle w:val="11"/>
        <w:pageBreakBefore w:val="0"/>
        <w:widowControl w:val="0"/>
        <w:kinsoku/>
        <w:wordWrap/>
        <w:overflowPunct/>
        <w:topLinePunct w:val="0"/>
        <w:autoSpaceDE/>
        <w:autoSpaceDN/>
        <w:bidi w:val="0"/>
        <w:adjustRightInd/>
        <w:snapToGrid/>
        <w:spacing w:beforeAutospacing="0" w:afterAutospacing="0" w:line="600" w:lineRule="exact"/>
        <w:ind w:firstLine="612"/>
        <w:jc w:val="both"/>
        <w:textAlignment w:val="baseline"/>
        <w:rPr>
          <w:rFonts w:hint="default" w:ascii="宋体" w:hAnsi="宋体" w:eastAsia="仿宋_GB2312" w:cs="仿宋_GB2312"/>
          <w:color w:val="333333"/>
          <w:spacing w:val="6"/>
          <w:sz w:val="28"/>
          <w:szCs w:val="28"/>
          <w:shd w:val="clear" w:color="auto" w:fill="FFFFFF"/>
          <w:lang w:val="en-US" w:eastAsia="zh-CN"/>
        </w:rPr>
      </w:pPr>
      <w:r>
        <w:rPr>
          <w:rFonts w:hint="eastAsia" w:ascii="宋体" w:hAnsi="宋体" w:cs="仿宋_GB2312"/>
          <w:color w:val="333333"/>
          <w:spacing w:val="6"/>
          <w:sz w:val="28"/>
          <w:szCs w:val="28"/>
          <w:highlight w:val="none"/>
          <w:shd w:val="clear" w:color="auto" w:fill="FFFFFF"/>
        </w:rPr>
        <w:t>指标分值4分，得4分。本项目平衡方案的编制内容完整、体系设计科学，资</w:t>
      </w:r>
      <w:r>
        <w:rPr>
          <w:rFonts w:hint="eastAsia" w:ascii="宋体" w:hAnsi="宋体" w:cs="仿宋_GB2312"/>
          <w:color w:val="333333"/>
          <w:spacing w:val="6"/>
          <w:sz w:val="28"/>
          <w:szCs w:val="28"/>
          <w:shd w:val="clear" w:color="auto" w:fill="FFFFFF"/>
        </w:rPr>
        <w:t>金分配及各年申请专项债券额度较为合理，平衡方案编制的内容与申请专项债券项目内容相匹配。本项目总投资为22,314.88万元，其中拟利用地方财政预算资金5,814.88万元，占比26.06%；发行地方政府专项债券16,500.00万元，占比73.94%。资金额度满足专项债券资金管理要求。</w:t>
      </w:r>
    </w:p>
    <w:p w14:paraId="1A0C5433">
      <w:pPr>
        <w:pStyle w:val="5"/>
        <w:pageBreakBefore w:val="0"/>
        <w:wordWrap/>
        <w:overflowPunct/>
        <w:topLinePunct w:val="0"/>
        <w:bidi w:val="0"/>
        <w:spacing w:line="600" w:lineRule="exact"/>
        <w:ind w:firstLine="600"/>
        <w:textAlignment w:val="baseline"/>
        <w:rPr>
          <w:rFonts w:hint="eastAsia" w:ascii="宋体" w:hAnsi="宋体"/>
          <w:sz w:val="28"/>
          <w:szCs w:val="28"/>
        </w:rPr>
      </w:pPr>
      <w:r>
        <w:rPr>
          <w:rFonts w:hint="eastAsia" w:ascii="宋体" w:hAnsi="宋体"/>
          <w:sz w:val="28"/>
          <w:szCs w:val="28"/>
        </w:rPr>
        <w:t>（2）资金分配的合理性</w:t>
      </w:r>
    </w:p>
    <w:p w14:paraId="364EA544">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12"/>
        <w:jc w:val="both"/>
        <w:textAlignment w:val="baseline"/>
        <w:rPr>
          <w:rFonts w:hint="default" w:ascii="宋体" w:hAnsi="宋体" w:eastAsia="仿宋_GB2312" w:cs="仿宋_GB2312"/>
          <w:color w:val="333333"/>
          <w:spacing w:val="6"/>
          <w:sz w:val="28"/>
          <w:szCs w:val="28"/>
          <w:shd w:val="clear" w:color="auto" w:fill="FFFFFF"/>
          <w:lang w:val="en-US" w:eastAsia="zh-CN"/>
        </w:rPr>
      </w:pPr>
      <w:r>
        <w:rPr>
          <w:rFonts w:hint="eastAsia" w:ascii="宋体" w:hAnsi="宋体" w:cs="仿宋_GB2312"/>
          <w:color w:val="333333"/>
          <w:spacing w:val="6"/>
          <w:sz w:val="28"/>
          <w:szCs w:val="28"/>
          <w:highlight w:val="none"/>
          <w:shd w:val="clear" w:color="auto" w:fill="FFFFFF"/>
        </w:rPr>
        <w:t>指标分值4分，得</w:t>
      </w:r>
      <w:r>
        <w:rPr>
          <w:rFonts w:hint="eastAsia" w:ascii="宋体" w:hAnsi="宋体" w:cs="仿宋_GB2312"/>
          <w:color w:val="333333"/>
          <w:spacing w:val="6"/>
          <w:sz w:val="28"/>
          <w:szCs w:val="28"/>
          <w:highlight w:val="none"/>
          <w:shd w:val="clear" w:color="auto" w:fill="FFFFFF"/>
          <w:lang w:val="en-US" w:eastAsia="zh-CN"/>
        </w:rPr>
        <w:t>4</w:t>
      </w:r>
      <w:r>
        <w:rPr>
          <w:rFonts w:hint="eastAsia" w:ascii="宋体" w:hAnsi="宋体" w:cs="仿宋_GB2312"/>
          <w:color w:val="333333"/>
          <w:spacing w:val="6"/>
          <w:sz w:val="28"/>
          <w:szCs w:val="28"/>
          <w:highlight w:val="none"/>
          <w:shd w:val="clear" w:color="auto" w:fill="FFFFFF"/>
        </w:rPr>
        <w:t>分。</w:t>
      </w:r>
      <w:r>
        <w:rPr>
          <w:rFonts w:hint="eastAsia" w:ascii="宋体" w:hAnsi="宋体"/>
          <w:sz w:val="28"/>
          <w:szCs w:val="28"/>
          <w:highlight w:val="none"/>
        </w:rPr>
        <w:t>本项目</w:t>
      </w:r>
      <w:r>
        <w:rPr>
          <w:rFonts w:hint="eastAsia" w:ascii="宋体" w:hAnsi="宋体" w:cs="仿宋_GB2312"/>
          <w:color w:val="333333"/>
          <w:spacing w:val="6"/>
          <w:sz w:val="28"/>
          <w:szCs w:val="28"/>
          <w:highlight w:val="none"/>
          <w:shd w:val="clear" w:color="auto" w:fill="FFFFFF"/>
        </w:rPr>
        <w:t>专项债券资金分配使用依据充分，自筹资金、债券资金额度分配合理，项目全生命周期收益与拟发债期限相匹配。依据本项目平衡方案，专项债资金发行额度与当年专项债项目任务匹配。</w:t>
      </w:r>
      <w:r>
        <w:rPr>
          <w:rFonts w:hint="eastAsia" w:ascii="宋体" w:hAnsi="宋体" w:cs="仿宋_GB2312"/>
          <w:color w:val="333333"/>
          <w:spacing w:val="6"/>
          <w:sz w:val="28"/>
          <w:szCs w:val="28"/>
          <w:highlight w:val="none"/>
          <w:shd w:val="clear" w:color="auto" w:fill="FFFFFF"/>
          <w:lang w:val="en-US" w:eastAsia="zh-CN"/>
        </w:rPr>
        <w:t>本项目</w:t>
      </w:r>
      <w:r>
        <w:rPr>
          <w:rFonts w:hint="eastAsia" w:ascii="宋体" w:hAnsi="宋体" w:cs="仿宋_GB2312"/>
          <w:color w:val="333333"/>
          <w:spacing w:val="6"/>
          <w:sz w:val="28"/>
          <w:szCs w:val="28"/>
          <w:highlight w:val="none"/>
          <w:shd w:val="clear" w:color="auto" w:fill="FFFFFF"/>
        </w:rPr>
        <w:t>应发行地方政府专项债券1</w:t>
      </w:r>
      <w:r>
        <w:rPr>
          <w:rFonts w:hint="eastAsia" w:ascii="宋体" w:hAnsi="宋体" w:cs="仿宋_GB2312"/>
          <w:color w:val="333333"/>
          <w:spacing w:val="6"/>
          <w:sz w:val="28"/>
          <w:szCs w:val="28"/>
          <w:highlight w:val="none"/>
          <w:shd w:val="clear" w:color="auto" w:fill="FFFFFF"/>
          <w:lang w:val="en-US" w:eastAsia="zh-CN"/>
        </w:rPr>
        <w:t>6</w:t>
      </w:r>
      <w:r>
        <w:rPr>
          <w:rFonts w:hint="eastAsia" w:ascii="宋体" w:hAnsi="宋体" w:cs="仿宋_GB2312"/>
          <w:color w:val="333333"/>
          <w:spacing w:val="6"/>
          <w:sz w:val="28"/>
          <w:szCs w:val="28"/>
          <w:highlight w:val="none"/>
          <w:shd w:val="clear" w:color="auto" w:fill="FFFFFF"/>
        </w:rPr>
        <w:t>,</w:t>
      </w:r>
      <w:r>
        <w:rPr>
          <w:rFonts w:hint="eastAsia" w:ascii="宋体" w:hAnsi="宋体" w:cs="仿宋_GB2312"/>
          <w:color w:val="333333"/>
          <w:spacing w:val="6"/>
          <w:sz w:val="28"/>
          <w:szCs w:val="28"/>
          <w:highlight w:val="none"/>
          <w:shd w:val="clear" w:color="auto" w:fill="FFFFFF"/>
          <w:lang w:val="en-US" w:eastAsia="zh-CN"/>
        </w:rPr>
        <w:t>5</w:t>
      </w:r>
      <w:r>
        <w:rPr>
          <w:rFonts w:hint="eastAsia" w:ascii="宋体" w:hAnsi="宋体" w:cs="仿宋_GB2312"/>
          <w:color w:val="333333"/>
          <w:spacing w:val="6"/>
          <w:sz w:val="28"/>
          <w:szCs w:val="28"/>
          <w:highlight w:val="none"/>
          <w:shd w:val="clear" w:color="auto" w:fill="FFFFFF"/>
        </w:rPr>
        <w:t>00.00万元，实际</w:t>
      </w:r>
      <w:r>
        <w:rPr>
          <w:rFonts w:hint="eastAsia" w:ascii="宋体" w:hAnsi="宋体" w:cs="仿宋_GB2312"/>
          <w:color w:val="333333"/>
          <w:spacing w:val="6"/>
          <w:sz w:val="28"/>
          <w:szCs w:val="28"/>
          <w:highlight w:val="none"/>
          <w:shd w:val="clear" w:color="auto" w:fill="FFFFFF"/>
          <w:lang w:val="en-US" w:eastAsia="zh-CN"/>
        </w:rPr>
        <w:t>已</w:t>
      </w:r>
      <w:r>
        <w:rPr>
          <w:rFonts w:hint="eastAsia" w:ascii="宋体" w:hAnsi="宋体" w:cs="仿宋_GB2312"/>
          <w:color w:val="333333"/>
          <w:spacing w:val="6"/>
          <w:sz w:val="28"/>
          <w:szCs w:val="28"/>
          <w:highlight w:val="none"/>
          <w:shd w:val="clear" w:color="auto" w:fill="FFFFFF"/>
        </w:rPr>
        <w:t>发行</w:t>
      </w:r>
      <w:r>
        <w:rPr>
          <w:rFonts w:hint="eastAsia" w:ascii="宋体" w:hAnsi="宋体" w:cs="仿宋_GB2312"/>
          <w:color w:val="333333"/>
          <w:spacing w:val="6"/>
          <w:sz w:val="28"/>
          <w:szCs w:val="28"/>
          <w:highlight w:val="none"/>
          <w:shd w:val="clear" w:color="auto" w:fill="FFFFFF"/>
          <w:lang w:val="en-US" w:eastAsia="zh-CN"/>
        </w:rPr>
        <w:t>16</w:t>
      </w:r>
      <w:r>
        <w:rPr>
          <w:rFonts w:hint="eastAsia" w:ascii="宋体" w:hAnsi="宋体" w:cs="仿宋_GB2312"/>
          <w:color w:val="333333"/>
          <w:spacing w:val="6"/>
          <w:sz w:val="28"/>
          <w:szCs w:val="28"/>
          <w:highlight w:val="none"/>
          <w:shd w:val="clear" w:color="auto" w:fill="FFFFFF"/>
        </w:rPr>
        <w:t>,</w:t>
      </w:r>
      <w:r>
        <w:rPr>
          <w:rFonts w:hint="eastAsia" w:ascii="宋体" w:hAnsi="宋体" w:cs="仿宋_GB2312"/>
          <w:color w:val="333333"/>
          <w:spacing w:val="6"/>
          <w:sz w:val="28"/>
          <w:szCs w:val="28"/>
          <w:highlight w:val="none"/>
          <w:shd w:val="clear" w:color="auto" w:fill="FFFFFF"/>
          <w:lang w:val="en-US" w:eastAsia="zh-CN"/>
        </w:rPr>
        <w:t>5</w:t>
      </w:r>
      <w:r>
        <w:rPr>
          <w:rFonts w:hint="eastAsia" w:ascii="宋体" w:hAnsi="宋体" w:cs="仿宋_GB2312"/>
          <w:color w:val="333333"/>
          <w:spacing w:val="6"/>
          <w:sz w:val="28"/>
          <w:szCs w:val="28"/>
          <w:highlight w:val="none"/>
          <w:shd w:val="clear" w:color="auto" w:fill="FFFFFF"/>
        </w:rPr>
        <w:t>00.00万元。</w:t>
      </w:r>
      <w:r>
        <w:rPr>
          <w:rFonts w:hint="eastAsia" w:ascii="宋体" w:hAnsi="宋体" w:cs="仿宋_GB2312"/>
          <w:color w:val="333333"/>
          <w:spacing w:val="6"/>
          <w:sz w:val="28"/>
          <w:szCs w:val="28"/>
          <w:shd w:val="clear" w:color="auto" w:fill="FFFFFF"/>
          <w:lang w:val="en-US" w:eastAsia="zh-CN"/>
        </w:rPr>
        <w:t>2025年度未发行新的专项债券资金，不涉及此项。</w:t>
      </w:r>
    </w:p>
    <w:p w14:paraId="38070064">
      <w:pPr>
        <w:pStyle w:val="3"/>
        <w:pageBreakBefore w:val="0"/>
        <w:wordWrap/>
        <w:overflowPunct/>
        <w:topLinePunct w:val="0"/>
        <w:bidi w:val="0"/>
        <w:spacing w:line="600" w:lineRule="exact"/>
        <w:ind w:firstLine="602"/>
        <w:textAlignment w:val="baseline"/>
        <w:rPr>
          <w:rFonts w:ascii="宋体" w:hAnsi="宋体"/>
          <w:sz w:val="28"/>
          <w:szCs w:val="28"/>
          <w:highlight w:val="none"/>
        </w:rPr>
      </w:pPr>
      <w:bookmarkStart w:id="120" w:name="_Toc19746"/>
      <w:bookmarkStart w:id="121" w:name="_Toc18097"/>
      <w:bookmarkStart w:id="122" w:name="_Toc7300"/>
      <w:r>
        <w:rPr>
          <w:rFonts w:hint="eastAsia" w:ascii="宋体" w:hAnsi="宋体"/>
          <w:sz w:val="28"/>
          <w:szCs w:val="28"/>
          <w:highlight w:val="none"/>
        </w:rPr>
        <w:t>（二）管理情况分析</w:t>
      </w:r>
      <w:bookmarkEnd w:id="120"/>
      <w:bookmarkEnd w:id="121"/>
      <w:bookmarkEnd w:id="122"/>
    </w:p>
    <w:p w14:paraId="579BE07A">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spacing w:val="6"/>
          <w:sz w:val="28"/>
          <w:szCs w:val="28"/>
          <w:highlight w:val="none"/>
        </w:rPr>
      </w:pPr>
      <w:r>
        <w:rPr>
          <w:rFonts w:hint="eastAsia" w:ascii="宋体" w:hAnsi="宋体" w:cs="仿宋_GB2312"/>
          <w:color w:val="333333"/>
          <w:spacing w:val="6"/>
          <w:sz w:val="28"/>
          <w:szCs w:val="28"/>
          <w:highlight w:val="none"/>
          <w:shd w:val="clear" w:color="auto" w:fill="FFFFFF"/>
        </w:rPr>
        <w:t>“管理”指标涉及二级指标2个，三级指标5个。总分值为20分，得分</w:t>
      </w:r>
      <w:r>
        <w:rPr>
          <w:rFonts w:hint="eastAsia" w:ascii="宋体" w:hAnsi="宋体" w:cs="仿宋_GB2312"/>
          <w:color w:val="333333"/>
          <w:spacing w:val="6"/>
          <w:sz w:val="28"/>
          <w:szCs w:val="28"/>
          <w:highlight w:val="none"/>
          <w:shd w:val="clear" w:color="auto" w:fill="FFFFFF"/>
          <w:lang w:val="en-US" w:eastAsia="zh-CN"/>
        </w:rPr>
        <w:t>17.42</w:t>
      </w:r>
      <w:r>
        <w:rPr>
          <w:rFonts w:hint="eastAsia" w:ascii="宋体" w:hAnsi="宋体" w:cs="仿宋_GB2312"/>
          <w:color w:val="333333"/>
          <w:spacing w:val="6"/>
          <w:sz w:val="28"/>
          <w:szCs w:val="28"/>
          <w:highlight w:val="none"/>
          <w:shd w:val="clear" w:color="auto" w:fill="FFFFFF"/>
        </w:rPr>
        <w:t>分，得分率为</w:t>
      </w:r>
      <w:r>
        <w:rPr>
          <w:rFonts w:hint="eastAsia" w:ascii="宋体" w:hAnsi="宋体" w:cs="仿宋_GB2312"/>
          <w:color w:val="333333"/>
          <w:spacing w:val="6"/>
          <w:sz w:val="28"/>
          <w:szCs w:val="28"/>
          <w:highlight w:val="none"/>
          <w:shd w:val="clear" w:color="auto" w:fill="FFFFFF"/>
          <w:lang w:val="en-US" w:eastAsia="zh-CN"/>
        </w:rPr>
        <w:t>87.10</w:t>
      </w:r>
      <w:r>
        <w:rPr>
          <w:rFonts w:hint="eastAsia" w:ascii="宋体" w:hAnsi="宋体" w:cs="仿宋_GB2312"/>
          <w:color w:val="333333"/>
          <w:spacing w:val="6"/>
          <w:sz w:val="28"/>
          <w:szCs w:val="28"/>
          <w:highlight w:val="none"/>
          <w:shd w:val="clear" w:color="auto" w:fill="FFFFFF"/>
        </w:rPr>
        <w:t>%。</w:t>
      </w:r>
    </w:p>
    <w:p w14:paraId="2D2C639A">
      <w:pPr>
        <w:pStyle w:val="4"/>
        <w:pageBreakBefore w:val="0"/>
        <w:wordWrap/>
        <w:overflowPunct/>
        <w:topLinePunct w:val="0"/>
        <w:bidi w:val="0"/>
        <w:spacing w:line="600" w:lineRule="exact"/>
        <w:ind w:firstLine="600"/>
        <w:textAlignment w:val="baseline"/>
        <w:rPr>
          <w:rFonts w:ascii="宋体" w:hAnsi="宋体"/>
          <w:sz w:val="28"/>
          <w:szCs w:val="28"/>
        </w:rPr>
      </w:pPr>
      <w:bookmarkStart w:id="123" w:name="_Toc14932"/>
      <w:bookmarkStart w:id="124" w:name="_Toc26923"/>
      <w:bookmarkStart w:id="125" w:name="_Toc26988"/>
      <w:bookmarkStart w:id="126" w:name="_Toc27361"/>
      <w:bookmarkStart w:id="127" w:name="_Toc2104"/>
      <w:r>
        <w:rPr>
          <w:rFonts w:hint="eastAsia" w:ascii="宋体" w:hAnsi="宋体"/>
          <w:sz w:val="28"/>
          <w:szCs w:val="28"/>
        </w:rPr>
        <w:t>1.组织实施（满分</w:t>
      </w:r>
      <w:r>
        <w:rPr>
          <w:rFonts w:hint="eastAsia" w:ascii="宋体" w:hAnsi="宋体"/>
          <w:sz w:val="28"/>
          <w:szCs w:val="28"/>
          <w:lang w:val="en-US" w:eastAsia="zh-CN"/>
        </w:rPr>
        <w:t>8</w:t>
      </w:r>
      <w:r>
        <w:rPr>
          <w:rFonts w:hint="eastAsia" w:ascii="宋体" w:hAnsi="宋体"/>
          <w:sz w:val="28"/>
          <w:szCs w:val="28"/>
        </w:rPr>
        <w:t>分，得分</w:t>
      </w:r>
      <w:r>
        <w:rPr>
          <w:rFonts w:hint="eastAsia" w:ascii="宋体" w:hAnsi="宋体"/>
          <w:sz w:val="28"/>
          <w:szCs w:val="28"/>
          <w:lang w:val="en-US" w:eastAsia="zh-CN"/>
        </w:rPr>
        <w:t>5.5</w:t>
      </w:r>
      <w:r>
        <w:rPr>
          <w:rFonts w:hint="eastAsia" w:ascii="宋体" w:hAnsi="宋体"/>
          <w:sz w:val="28"/>
          <w:szCs w:val="28"/>
        </w:rPr>
        <w:t>分）</w:t>
      </w:r>
      <w:bookmarkEnd w:id="123"/>
      <w:bookmarkEnd w:id="124"/>
      <w:bookmarkEnd w:id="125"/>
    </w:p>
    <w:p w14:paraId="520E80C2">
      <w:pPr>
        <w:pStyle w:val="5"/>
        <w:pageBreakBefore w:val="0"/>
        <w:wordWrap/>
        <w:overflowPunct/>
        <w:topLinePunct w:val="0"/>
        <w:bidi w:val="0"/>
        <w:spacing w:line="600" w:lineRule="exact"/>
        <w:ind w:firstLine="600"/>
        <w:textAlignment w:val="baseline"/>
        <w:rPr>
          <w:rFonts w:ascii="宋体" w:hAnsi="宋体"/>
          <w:sz w:val="28"/>
          <w:szCs w:val="28"/>
        </w:rPr>
      </w:pPr>
      <w:r>
        <w:rPr>
          <w:rFonts w:hint="eastAsia" w:ascii="宋体" w:hAnsi="宋体"/>
          <w:sz w:val="28"/>
          <w:szCs w:val="28"/>
        </w:rPr>
        <w:t>（1）管理制度健全性</w:t>
      </w:r>
    </w:p>
    <w:p w14:paraId="0167876E">
      <w:pPr>
        <w:pStyle w:val="11"/>
        <w:pageBreakBefore w:val="0"/>
        <w:widowControl w:val="0"/>
        <w:kinsoku/>
        <w:wordWrap/>
        <w:overflowPunct/>
        <w:topLinePunct w:val="0"/>
        <w:autoSpaceDE/>
        <w:autoSpaceDN/>
        <w:bidi w:val="0"/>
        <w:adjustRightInd/>
        <w:snapToGrid/>
        <w:spacing w:beforeAutospacing="0" w:afterAutospacing="0" w:line="600" w:lineRule="exact"/>
        <w:ind w:firstLine="612"/>
        <w:jc w:val="both"/>
        <w:textAlignment w:val="baseline"/>
        <w:rPr>
          <w:rFonts w:hint="default" w:ascii="宋体" w:hAnsi="宋体" w:eastAsia="仿宋_GB2312" w:cs="仿宋_GB2312"/>
          <w:color w:val="333333"/>
          <w:spacing w:val="6"/>
          <w:sz w:val="28"/>
          <w:szCs w:val="28"/>
          <w:shd w:val="clear" w:color="auto" w:fill="FFFFFF"/>
          <w:lang w:val="en-US" w:eastAsia="zh-CN"/>
        </w:rPr>
      </w:pPr>
      <w:r>
        <w:rPr>
          <w:rFonts w:hint="eastAsia" w:ascii="宋体" w:hAnsi="宋体" w:cs="仿宋_GB2312"/>
          <w:color w:val="333333"/>
          <w:spacing w:val="6"/>
          <w:sz w:val="28"/>
          <w:szCs w:val="28"/>
          <w:shd w:val="clear" w:color="auto" w:fill="FFFFFF"/>
        </w:rPr>
        <w:t>指标分值</w:t>
      </w:r>
      <w:r>
        <w:rPr>
          <w:rFonts w:hint="eastAsia" w:ascii="宋体" w:hAnsi="宋体" w:cs="仿宋_GB2312"/>
          <w:color w:val="333333"/>
          <w:spacing w:val="6"/>
          <w:sz w:val="28"/>
          <w:szCs w:val="28"/>
          <w:shd w:val="clear" w:color="auto" w:fill="FFFFFF"/>
          <w:lang w:val="en-US" w:eastAsia="zh-CN"/>
        </w:rPr>
        <w:t>4</w:t>
      </w:r>
      <w:r>
        <w:rPr>
          <w:rFonts w:hint="eastAsia" w:ascii="宋体" w:hAnsi="宋体" w:cs="仿宋_GB2312"/>
          <w:color w:val="333333"/>
          <w:spacing w:val="6"/>
          <w:sz w:val="28"/>
          <w:szCs w:val="28"/>
          <w:shd w:val="clear" w:color="auto" w:fill="FFFFFF"/>
        </w:rPr>
        <w:t>分，得分</w:t>
      </w:r>
      <w:r>
        <w:rPr>
          <w:rFonts w:hint="eastAsia" w:ascii="宋体" w:hAnsi="宋体" w:cs="仿宋_GB2312"/>
          <w:color w:val="333333"/>
          <w:spacing w:val="6"/>
          <w:sz w:val="28"/>
          <w:szCs w:val="28"/>
          <w:shd w:val="clear" w:color="auto" w:fill="FFFFFF"/>
          <w:lang w:val="en-US" w:eastAsia="zh-CN"/>
        </w:rPr>
        <w:t>1</w:t>
      </w:r>
      <w:r>
        <w:rPr>
          <w:rFonts w:hint="eastAsia" w:ascii="宋体" w:hAnsi="宋体" w:cs="仿宋_GB2312"/>
          <w:color w:val="333333"/>
          <w:spacing w:val="6"/>
          <w:sz w:val="28"/>
          <w:szCs w:val="28"/>
          <w:shd w:val="clear" w:color="auto" w:fill="FFFFFF"/>
        </w:rPr>
        <w:t>.5分，扣</w:t>
      </w:r>
      <w:r>
        <w:rPr>
          <w:rFonts w:hint="eastAsia" w:ascii="宋体" w:hAnsi="宋体" w:cs="仿宋_GB2312"/>
          <w:color w:val="333333"/>
          <w:spacing w:val="6"/>
          <w:sz w:val="28"/>
          <w:szCs w:val="28"/>
          <w:shd w:val="clear" w:color="auto" w:fill="FFFFFF"/>
          <w:lang w:val="en-US" w:eastAsia="zh-CN"/>
        </w:rPr>
        <w:t>2</w:t>
      </w:r>
      <w:r>
        <w:rPr>
          <w:rFonts w:hint="eastAsia" w:ascii="宋体" w:hAnsi="宋体" w:cs="仿宋_GB2312"/>
          <w:color w:val="333333"/>
          <w:spacing w:val="6"/>
          <w:sz w:val="28"/>
          <w:szCs w:val="28"/>
          <w:shd w:val="clear" w:color="auto" w:fill="FFFFFF"/>
        </w:rPr>
        <w:t>.5分。长春市宽城区中</w:t>
      </w:r>
      <w:r>
        <w:rPr>
          <w:rFonts w:hint="eastAsia" w:ascii="宋体" w:hAnsi="宋体" w:cs="仿宋_GB2312"/>
          <w:color w:val="333333"/>
          <w:spacing w:val="6"/>
          <w:sz w:val="28"/>
          <w:szCs w:val="28"/>
          <w:highlight w:val="none"/>
          <w:shd w:val="clear" w:color="auto" w:fill="FFFFFF"/>
        </w:rPr>
        <w:t>医院为本项目设立了专门的管理机构</w:t>
      </w:r>
      <w:r>
        <w:rPr>
          <w:rFonts w:hint="eastAsia" w:ascii="宋体" w:hAnsi="宋体" w:cs="仿宋_GB2312"/>
          <w:spacing w:val="6"/>
          <w:sz w:val="28"/>
          <w:szCs w:val="28"/>
          <w:highlight w:val="none"/>
          <w:shd w:val="clear" w:color="auto" w:fill="FFFFFF"/>
        </w:rPr>
        <w:t>及专项债券资金使用计划</w:t>
      </w:r>
      <w:r>
        <w:rPr>
          <w:rFonts w:hint="eastAsia" w:ascii="宋体" w:hAnsi="宋体" w:cs="仿宋_GB2312"/>
          <w:color w:val="333333"/>
          <w:spacing w:val="6"/>
          <w:sz w:val="28"/>
          <w:szCs w:val="28"/>
          <w:highlight w:val="none"/>
          <w:shd w:val="clear" w:color="auto" w:fill="FFFFFF"/>
        </w:rPr>
        <w:t>，制定了</w:t>
      </w:r>
      <w:r>
        <w:rPr>
          <w:rFonts w:hint="eastAsia" w:ascii="宋体" w:hAnsi="宋体" w:cs="仿宋_GB2312"/>
          <w:spacing w:val="6"/>
          <w:sz w:val="28"/>
          <w:szCs w:val="28"/>
          <w:highlight w:val="none"/>
          <w:shd w:val="clear" w:color="auto" w:fill="FFFFFF"/>
        </w:rPr>
        <w:t>《专项债券财务管理制度》，对资金收款、付款流程和资金使用进度进行了规定，但在具体实施过程中整体流程不够细化，扣0.5分。</w:t>
      </w:r>
      <w:r>
        <w:rPr>
          <w:rFonts w:hint="eastAsia" w:ascii="宋体" w:hAnsi="宋体" w:cs="仿宋_GB2312"/>
          <w:spacing w:val="6"/>
          <w:sz w:val="28"/>
          <w:szCs w:val="28"/>
          <w:highlight w:val="none"/>
          <w:shd w:val="clear" w:color="auto" w:fill="FFFFFF"/>
          <w:lang w:val="en-US" w:eastAsia="zh-CN"/>
        </w:rPr>
        <w:t>本项目开工报告日期为2022年7月13日，早于建筑工程施工许可时间2023年3月29日，扣1分；依</w:t>
      </w:r>
      <w:r>
        <w:rPr>
          <w:rFonts w:hint="eastAsia" w:ascii="宋体" w:hAnsi="宋体" w:cs="仿宋_GB2312"/>
          <w:spacing w:val="6"/>
          <w:sz w:val="28"/>
          <w:szCs w:val="28"/>
          <w:highlight w:val="none"/>
          <w:shd w:val="clear" w:color="auto" w:fill="FFFFFF"/>
        </w:rPr>
        <w:t>据《关于调整长春市宽城区卫生综合体建设项目建设期限的通知》（长宽发改字【2021】157号），本项目建设工期为自2021年10月起至2024年10月止</w:t>
      </w:r>
      <w:r>
        <w:rPr>
          <w:rFonts w:hint="eastAsia" w:ascii="宋体" w:hAnsi="宋体" w:cs="仿宋_GB2312"/>
          <w:spacing w:val="6"/>
          <w:sz w:val="28"/>
          <w:szCs w:val="28"/>
          <w:highlight w:val="none"/>
          <w:shd w:val="clear" w:color="auto" w:fill="FFFFFF"/>
          <w:lang w:eastAsia="zh-CN"/>
        </w:rPr>
        <w:t>，</w:t>
      </w:r>
      <w:r>
        <w:rPr>
          <w:rFonts w:hint="eastAsia" w:ascii="宋体" w:hAnsi="宋体" w:cs="仿宋_GB2312"/>
          <w:spacing w:val="6"/>
          <w:sz w:val="28"/>
          <w:szCs w:val="28"/>
          <w:highlight w:val="none"/>
          <w:shd w:val="clear" w:color="auto" w:fill="FFFFFF"/>
          <w:lang w:val="en-US" w:eastAsia="zh-CN"/>
        </w:rPr>
        <w:t>项目未按期完工，未取得建设期延期的批复文件，扣1分。</w:t>
      </w:r>
    </w:p>
    <w:p w14:paraId="05BFE3D8">
      <w:pPr>
        <w:pStyle w:val="5"/>
        <w:pageBreakBefore w:val="0"/>
        <w:wordWrap/>
        <w:overflowPunct/>
        <w:topLinePunct w:val="0"/>
        <w:bidi w:val="0"/>
        <w:spacing w:line="600" w:lineRule="exact"/>
        <w:ind w:firstLine="600"/>
        <w:textAlignment w:val="baseline"/>
        <w:rPr>
          <w:rFonts w:ascii="宋体" w:hAnsi="宋体"/>
          <w:sz w:val="28"/>
          <w:szCs w:val="28"/>
        </w:rPr>
      </w:pPr>
      <w:r>
        <w:rPr>
          <w:rFonts w:hint="eastAsia" w:ascii="宋体" w:hAnsi="宋体"/>
          <w:sz w:val="28"/>
          <w:szCs w:val="28"/>
        </w:rPr>
        <w:t>（2）组织实施有效性</w:t>
      </w:r>
    </w:p>
    <w:p w14:paraId="74FBAAFF">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hint="eastAsia" w:ascii="宋体" w:hAnsi="宋体" w:cs="仿宋_GB2312"/>
          <w:color w:val="333333"/>
          <w:spacing w:val="6"/>
          <w:sz w:val="28"/>
          <w:szCs w:val="28"/>
          <w:highlight w:val="none"/>
          <w:shd w:val="clear" w:color="auto" w:fill="FFFFFF"/>
        </w:rPr>
      </w:pPr>
      <w:r>
        <w:rPr>
          <w:rFonts w:hint="eastAsia" w:ascii="宋体" w:hAnsi="宋体" w:cs="仿宋_GB2312"/>
          <w:color w:val="333333"/>
          <w:spacing w:val="6"/>
          <w:sz w:val="28"/>
          <w:szCs w:val="28"/>
          <w:shd w:val="clear" w:color="auto" w:fill="FFFFFF"/>
        </w:rPr>
        <w:t>指标分值4分，得分</w:t>
      </w:r>
      <w:r>
        <w:rPr>
          <w:rFonts w:hint="eastAsia" w:ascii="宋体" w:hAnsi="宋体" w:cs="仿宋_GB2312"/>
          <w:color w:val="333333"/>
          <w:spacing w:val="6"/>
          <w:sz w:val="28"/>
          <w:szCs w:val="28"/>
          <w:shd w:val="clear" w:color="auto" w:fill="FFFFFF"/>
          <w:lang w:val="en-US" w:eastAsia="zh-CN"/>
        </w:rPr>
        <w:t>4</w:t>
      </w:r>
      <w:r>
        <w:rPr>
          <w:rFonts w:hint="eastAsia" w:ascii="宋体" w:hAnsi="宋体" w:cs="仿宋_GB2312"/>
          <w:color w:val="333333"/>
          <w:spacing w:val="6"/>
          <w:sz w:val="28"/>
          <w:szCs w:val="28"/>
          <w:shd w:val="clear" w:color="auto" w:fill="FFFFFF"/>
        </w:rPr>
        <w:t>分。</w:t>
      </w:r>
      <w:r>
        <w:rPr>
          <w:rFonts w:hint="eastAsia" w:ascii="宋体" w:hAnsi="宋体" w:cs="仿宋_GB2312"/>
          <w:color w:val="333333"/>
          <w:spacing w:val="6"/>
          <w:sz w:val="28"/>
          <w:szCs w:val="28"/>
          <w:highlight w:val="none"/>
          <w:shd w:val="clear" w:color="auto" w:fill="FFFFFF"/>
        </w:rPr>
        <w:t>本项目实施的人员条件、场地设备、信息支撑已落实到位。通过查看财务资料，截至目前已签订的项目合同书等资料齐全并已归档管理。专项债券项目信息已按规定进行公开。依据提供的竣工验收证书等，与本项目建设有关的市政道路、水、电等配套基础设施已完</w:t>
      </w:r>
      <w:r>
        <w:rPr>
          <w:rFonts w:hint="eastAsia" w:ascii="宋体" w:hAnsi="宋体" w:cs="仿宋_GB2312"/>
          <w:color w:val="333333"/>
          <w:spacing w:val="6"/>
          <w:sz w:val="28"/>
          <w:szCs w:val="28"/>
          <w:highlight w:val="none"/>
          <w:shd w:val="clear" w:color="auto" w:fill="FFFFFF"/>
          <w:lang w:val="en-US" w:eastAsia="zh-CN"/>
        </w:rPr>
        <w:t>工</w:t>
      </w:r>
      <w:r>
        <w:rPr>
          <w:rFonts w:hint="eastAsia" w:ascii="宋体" w:hAnsi="宋体" w:cs="仿宋_GB2312"/>
          <w:color w:val="333333"/>
          <w:spacing w:val="6"/>
          <w:sz w:val="28"/>
          <w:szCs w:val="28"/>
          <w:highlight w:val="none"/>
          <w:shd w:val="clear" w:color="auto" w:fill="FFFFFF"/>
        </w:rPr>
        <w:t>。</w:t>
      </w:r>
    </w:p>
    <w:p w14:paraId="78F2F6C8">
      <w:pPr>
        <w:pStyle w:val="4"/>
        <w:pageBreakBefore w:val="0"/>
        <w:wordWrap/>
        <w:overflowPunct/>
        <w:topLinePunct w:val="0"/>
        <w:bidi w:val="0"/>
        <w:spacing w:line="600" w:lineRule="exact"/>
        <w:ind w:firstLine="600"/>
        <w:textAlignment w:val="baseline"/>
        <w:rPr>
          <w:rFonts w:ascii="宋体" w:hAnsi="宋体"/>
          <w:sz w:val="28"/>
          <w:szCs w:val="28"/>
          <w:highlight w:val="none"/>
        </w:rPr>
      </w:pPr>
      <w:bookmarkStart w:id="128" w:name="_Toc7666"/>
      <w:r>
        <w:rPr>
          <w:rFonts w:hint="eastAsia" w:ascii="宋体" w:hAnsi="宋体"/>
          <w:sz w:val="28"/>
          <w:szCs w:val="28"/>
          <w:highlight w:val="none"/>
        </w:rPr>
        <w:t>2.资金管理（满分1</w:t>
      </w:r>
      <w:r>
        <w:rPr>
          <w:rFonts w:hint="eastAsia" w:ascii="宋体" w:hAnsi="宋体"/>
          <w:sz w:val="28"/>
          <w:szCs w:val="28"/>
          <w:highlight w:val="none"/>
          <w:lang w:val="en-US" w:eastAsia="zh-CN"/>
        </w:rPr>
        <w:t>2</w:t>
      </w:r>
      <w:r>
        <w:rPr>
          <w:rFonts w:hint="eastAsia" w:ascii="宋体" w:hAnsi="宋体"/>
          <w:sz w:val="28"/>
          <w:szCs w:val="28"/>
          <w:highlight w:val="none"/>
        </w:rPr>
        <w:t>分，得分</w:t>
      </w:r>
      <w:r>
        <w:rPr>
          <w:rFonts w:hint="eastAsia" w:ascii="宋体" w:hAnsi="宋体"/>
          <w:sz w:val="28"/>
          <w:szCs w:val="28"/>
          <w:highlight w:val="none"/>
          <w:lang w:val="en-US" w:eastAsia="zh-CN"/>
        </w:rPr>
        <w:t>11.92</w:t>
      </w:r>
      <w:r>
        <w:rPr>
          <w:rFonts w:hint="eastAsia" w:ascii="宋体" w:hAnsi="宋体"/>
          <w:sz w:val="28"/>
          <w:szCs w:val="28"/>
          <w:highlight w:val="none"/>
        </w:rPr>
        <w:t>分）</w:t>
      </w:r>
      <w:bookmarkEnd w:id="126"/>
      <w:bookmarkEnd w:id="127"/>
      <w:bookmarkEnd w:id="128"/>
    </w:p>
    <w:p w14:paraId="59423F2D">
      <w:pPr>
        <w:pStyle w:val="5"/>
        <w:pageBreakBefore w:val="0"/>
        <w:wordWrap/>
        <w:overflowPunct/>
        <w:topLinePunct w:val="0"/>
        <w:bidi w:val="0"/>
        <w:spacing w:line="600" w:lineRule="exact"/>
        <w:ind w:firstLine="600"/>
        <w:textAlignment w:val="baseline"/>
        <w:rPr>
          <w:rFonts w:ascii="宋体" w:hAnsi="宋体"/>
          <w:sz w:val="28"/>
          <w:szCs w:val="28"/>
          <w:highlight w:val="none"/>
        </w:rPr>
      </w:pPr>
      <w:r>
        <w:rPr>
          <w:rFonts w:hint="eastAsia" w:ascii="宋体" w:hAnsi="宋体"/>
          <w:sz w:val="28"/>
          <w:szCs w:val="28"/>
          <w:highlight w:val="none"/>
        </w:rPr>
        <w:t>（1）资金使用合规性</w:t>
      </w:r>
    </w:p>
    <w:p w14:paraId="1188EB6A">
      <w:pPr>
        <w:pStyle w:val="11"/>
        <w:pageBreakBefore w:val="0"/>
        <w:widowControl w:val="0"/>
        <w:kinsoku/>
        <w:wordWrap/>
        <w:overflowPunct/>
        <w:topLinePunct w:val="0"/>
        <w:autoSpaceDE/>
        <w:autoSpaceDN/>
        <w:bidi w:val="0"/>
        <w:adjustRightInd/>
        <w:snapToGrid/>
        <w:spacing w:beforeAutospacing="0" w:afterAutospacing="0" w:line="600" w:lineRule="exact"/>
        <w:ind w:firstLine="612"/>
        <w:jc w:val="both"/>
        <w:textAlignment w:val="baseline"/>
        <w:rPr>
          <w:rFonts w:hint="default" w:ascii="宋体" w:hAnsi="宋体" w:eastAsia="仿宋_GB2312" w:cs="仿宋_GB2312"/>
          <w:spacing w:val="6"/>
          <w:sz w:val="28"/>
          <w:szCs w:val="28"/>
          <w:highlight w:val="none"/>
          <w:lang w:val="en-US" w:eastAsia="zh-CN"/>
        </w:rPr>
      </w:pPr>
      <w:r>
        <w:rPr>
          <w:rFonts w:hint="eastAsia" w:ascii="宋体" w:hAnsi="宋体" w:cs="仿宋_GB2312"/>
          <w:color w:val="333333"/>
          <w:spacing w:val="6"/>
          <w:sz w:val="28"/>
          <w:szCs w:val="28"/>
          <w:highlight w:val="none"/>
          <w:shd w:val="clear" w:color="auto" w:fill="FFFFFF"/>
        </w:rPr>
        <w:t>指标分值</w:t>
      </w:r>
      <w:r>
        <w:rPr>
          <w:rFonts w:hint="eastAsia" w:ascii="宋体" w:hAnsi="宋体" w:cs="仿宋_GB2312"/>
          <w:color w:val="333333"/>
          <w:spacing w:val="6"/>
          <w:sz w:val="28"/>
          <w:szCs w:val="28"/>
          <w:highlight w:val="none"/>
          <w:shd w:val="clear" w:color="auto" w:fill="FFFFFF"/>
          <w:lang w:val="en-US" w:eastAsia="zh-CN"/>
        </w:rPr>
        <w:t>4</w:t>
      </w:r>
      <w:r>
        <w:rPr>
          <w:rFonts w:hint="eastAsia" w:ascii="宋体" w:hAnsi="宋体" w:cs="仿宋_GB2312"/>
          <w:color w:val="333333"/>
          <w:spacing w:val="6"/>
          <w:sz w:val="28"/>
          <w:szCs w:val="28"/>
          <w:highlight w:val="none"/>
          <w:shd w:val="clear" w:color="auto" w:fill="FFFFFF"/>
        </w:rPr>
        <w:t>分，得</w:t>
      </w:r>
      <w:r>
        <w:rPr>
          <w:rFonts w:hint="eastAsia" w:ascii="宋体" w:hAnsi="宋体" w:cs="仿宋_GB2312"/>
          <w:color w:val="333333"/>
          <w:spacing w:val="6"/>
          <w:sz w:val="28"/>
          <w:szCs w:val="28"/>
          <w:highlight w:val="none"/>
          <w:shd w:val="clear" w:color="auto" w:fill="FFFFFF"/>
          <w:lang w:val="en-US" w:eastAsia="zh-CN"/>
        </w:rPr>
        <w:t>4</w:t>
      </w:r>
      <w:r>
        <w:rPr>
          <w:rFonts w:hint="eastAsia" w:ascii="宋体" w:hAnsi="宋体" w:cs="仿宋_GB2312"/>
          <w:color w:val="333333"/>
          <w:spacing w:val="6"/>
          <w:sz w:val="28"/>
          <w:szCs w:val="28"/>
          <w:highlight w:val="none"/>
          <w:shd w:val="clear" w:color="auto" w:fill="FFFFFF"/>
        </w:rPr>
        <w:t>分。本项目资金拨付有完整的审批程序和手续，符合项目预算批复或合同规定的用途，未发现截留、挤占、挪用等情况</w:t>
      </w:r>
      <w:r>
        <w:rPr>
          <w:rFonts w:hint="eastAsia" w:ascii="宋体" w:hAnsi="宋体" w:cs="仿宋_GB2312"/>
          <w:color w:val="333333"/>
          <w:spacing w:val="6"/>
          <w:sz w:val="28"/>
          <w:szCs w:val="28"/>
          <w:highlight w:val="none"/>
          <w:shd w:val="clear" w:color="auto" w:fill="FFFFFF"/>
          <w:lang w:eastAsia="zh-CN"/>
        </w:rPr>
        <w:t>；</w:t>
      </w:r>
      <w:r>
        <w:rPr>
          <w:rFonts w:hint="eastAsia" w:ascii="宋体" w:hAnsi="宋体" w:cs="仿宋_GB2312"/>
          <w:color w:val="333333"/>
          <w:spacing w:val="6"/>
          <w:sz w:val="28"/>
          <w:szCs w:val="28"/>
          <w:highlight w:val="none"/>
          <w:shd w:val="clear" w:color="auto" w:fill="FFFFFF"/>
          <w:lang w:val="en-US" w:eastAsia="zh-CN"/>
        </w:rPr>
        <w:t>本年度不涉及</w:t>
      </w:r>
      <w:r>
        <w:rPr>
          <w:rFonts w:hint="eastAsia" w:ascii="宋体" w:hAnsi="宋体" w:cs="仿宋_GB2312"/>
          <w:color w:val="333333"/>
          <w:spacing w:val="6"/>
          <w:sz w:val="28"/>
          <w:szCs w:val="28"/>
          <w:highlight w:val="none"/>
          <w:shd w:val="clear" w:color="auto" w:fill="FFFFFF"/>
        </w:rPr>
        <w:t>专项债券项目资金</w:t>
      </w:r>
      <w:r>
        <w:rPr>
          <w:rFonts w:hint="eastAsia" w:ascii="宋体" w:hAnsi="宋体" w:cs="仿宋_GB2312"/>
          <w:color w:val="333333"/>
          <w:spacing w:val="6"/>
          <w:sz w:val="28"/>
          <w:szCs w:val="28"/>
          <w:highlight w:val="none"/>
          <w:shd w:val="clear" w:color="auto" w:fill="FFFFFF"/>
          <w:lang w:val="en-US" w:eastAsia="zh-CN"/>
        </w:rPr>
        <w:t>。</w:t>
      </w:r>
    </w:p>
    <w:p w14:paraId="0B51A9BA">
      <w:pPr>
        <w:pStyle w:val="5"/>
        <w:pageBreakBefore w:val="0"/>
        <w:wordWrap/>
        <w:overflowPunct/>
        <w:topLinePunct w:val="0"/>
        <w:bidi w:val="0"/>
        <w:spacing w:line="600" w:lineRule="exact"/>
        <w:ind w:firstLine="600"/>
        <w:textAlignment w:val="baseline"/>
        <w:rPr>
          <w:rFonts w:ascii="宋体" w:hAnsi="宋体"/>
          <w:sz w:val="28"/>
          <w:szCs w:val="28"/>
          <w:highlight w:val="none"/>
        </w:rPr>
      </w:pPr>
      <w:r>
        <w:rPr>
          <w:rFonts w:hint="eastAsia" w:ascii="宋体" w:hAnsi="宋体"/>
          <w:sz w:val="28"/>
          <w:szCs w:val="28"/>
          <w:highlight w:val="none"/>
        </w:rPr>
        <w:t>（2）资金到位率</w:t>
      </w:r>
    </w:p>
    <w:p w14:paraId="2C9AA8ED">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spacing w:val="6"/>
          <w:sz w:val="28"/>
          <w:szCs w:val="28"/>
          <w:highlight w:val="none"/>
        </w:rPr>
      </w:pPr>
      <w:r>
        <w:rPr>
          <w:rFonts w:hint="eastAsia" w:ascii="宋体" w:hAnsi="宋体" w:cs="仿宋_GB2312"/>
          <w:color w:val="333333"/>
          <w:spacing w:val="6"/>
          <w:sz w:val="28"/>
          <w:szCs w:val="28"/>
          <w:highlight w:val="none"/>
          <w:shd w:val="clear" w:color="auto" w:fill="FFFFFF"/>
        </w:rPr>
        <w:t>指标分值4分，得</w:t>
      </w:r>
      <w:r>
        <w:rPr>
          <w:rFonts w:hint="eastAsia" w:ascii="宋体" w:hAnsi="宋体" w:cs="仿宋_GB2312"/>
          <w:color w:val="333333"/>
          <w:spacing w:val="6"/>
          <w:sz w:val="28"/>
          <w:szCs w:val="28"/>
          <w:highlight w:val="none"/>
          <w:shd w:val="clear" w:color="auto" w:fill="FFFFFF"/>
          <w:lang w:val="en-US" w:eastAsia="zh-CN"/>
        </w:rPr>
        <w:t>3.92</w:t>
      </w:r>
      <w:r>
        <w:rPr>
          <w:rFonts w:hint="eastAsia" w:ascii="宋体" w:hAnsi="宋体" w:cs="仿宋_GB2312"/>
          <w:color w:val="333333"/>
          <w:spacing w:val="6"/>
          <w:sz w:val="28"/>
          <w:szCs w:val="28"/>
          <w:highlight w:val="none"/>
          <w:shd w:val="clear" w:color="auto" w:fill="FFFFFF"/>
        </w:rPr>
        <w:t>分</w:t>
      </w:r>
      <w:r>
        <w:rPr>
          <w:rFonts w:hint="eastAsia" w:ascii="宋体" w:hAnsi="宋体" w:cs="仿宋_GB2312"/>
          <w:color w:val="333333"/>
          <w:spacing w:val="6"/>
          <w:sz w:val="28"/>
          <w:szCs w:val="28"/>
          <w:highlight w:val="none"/>
          <w:shd w:val="clear" w:color="auto" w:fill="FFFFFF"/>
          <w:lang w:eastAsia="zh-CN"/>
        </w:rPr>
        <w:t>，</w:t>
      </w:r>
      <w:r>
        <w:rPr>
          <w:rFonts w:hint="eastAsia" w:ascii="宋体" w:hAnsi="宋体" w:cs="仿宋_GB2312"/>
          <w:color w:val="333333"/>
          <w:spacing w:val="6"/>
          <w:sz w:val="28"/>
          <w:szCs w:val="28"/>
          <w:highlight w:val="none"/>
          <w:shd w:val="clear" w:color="auto" w:fill="FFFFFF"/>
          <w:lang w:val="en-US" w:eastAsia="zh-CN"/>
        </w:rPr>
        <w:t>扣0.08分</w:t>
      </w:r>
      <w:r>
        <w:rPr>
          <w:rFonts w:hint="eastAsia" w:ascii="宋体" w:hAnsi="宋体" w:cs="仿宋_GB2312"/>
          <w:color w:val="333333"/>
          <w:spacing w:val="6"/>
          <w:sz w:val="28"/>
          <w:szCs w:val="28"/>
          <w:highlight w:val="none"/>
          <w:shd w:val="clear" w:color="auto" w:fill="FFFFFF"/>
        </w:rPr>
        <w:t>。202</w:t>
      </w:r>
      <w:r>
        <w:rPr>
          <w:rFonts w:hint="eastAsia" w:ascii="宋体" w:hAnsi="宋体" w:cs="仿宋_GB2312"/>
          <w:color w:val="333333"/>
          <w:spacing w:val="6"/>
          <w:sz w:val="28"/>
          <w:szCs w:val="28"/>
          <w:highlight w:val="none"/>
          <w:shd w:val="clear" w:color="auto" w:fill="FFFFFF"/>
          <w:lang w:val="en-US" w:eastAsia="zh-CN"/>
        </w:rPr>
        <w:t>5</w:t>
      </w:r>
      <w:r>
        <w:rPr>
          <w:rFonts w:hint="eastAsia" w:ascii="宋体" w:hAnsi="宋体" w:cs="仿宋_GB2312"/>
          <w:color w:val="333333"/>
          <w:spacing w:val="6"/>
          <w:sz w:val="28"/>
          <w:szCs w:val="28"/>
          <w:highlight w:val="none"/>
          <w:shd w:val="clear" w:color="auto" w:fill="FFFFFF"/>
        </w:rPr>
        <w:t>年度本项目预算资金共计</w:t>
      </w:r>
      <w:r>
        <w:rPr>
          <w:rFonts w:hint="eastAsia" w:ascii="宋体" w:hAnsi="宋体" w:cs="仿宋_GB2312"/>
          <w:color w:val="333333"/>
          <w:spacing w:val="6"/>
          <w:sz w:val="28"/>
          <w:szCs w:val="28"/>
          <w:highlight w:val="none"/>
          <w:shd w:val="clear" w:color="auto" w:fill="FFFFFF"/>
          <w:lang w:val="en-US" w:eastAsia="zh-CN"/>
        </w:rPr>
        <w:t>95</w:t>
      </w:r>
      <w:r>
        <w:rPr>
          <w:rFonts w:hint="eastAsia" w:ascii="宋体" w:hAnsi="宋体" w:cs="仿宋_GB2312"/>
          <w:color w:val="333333"/>
          <w:spacing w:val="6"/>
          <w:sz w:val="28"/>
          <w:szCs w:val="28"/>
          <w:highlight w:val="none"/>
          <w:shd w:val="clear" w:color="auto" w:fill="FFFFFF"/>
        </w:rPr>
        <w:t>.00万元，其中财政预算资金</w:t>
      </w:r>
      <w:r>
        <w:rPr>
          <w:rFonts w:hint="eastAsia" w:ascii="宋体" w:hAnsi="宋体" w:cs="仿宋_GB2312"/>
          <w:color w:val="333333"/>
          <w:spacing w:val="6"/>
          <w:sz w:val="28"/>
          <w:szCs w:val="28"/>
          <w:highlight w:val="none"/>
          <w:shd w:val="clear" w:color="auto" w:fill="FFFFFF"/>
          <w:lang w:val="en-US" w:eastAsia="zh-CN"/>
        </w:rPr>
        <w:t>95</w:t>
      </w:r>
      <w:r>
        <w:rPr>
          <w:rFonts w:hint="eastAsia" w:ascii="宋体" w:hAnsi="宋体" w:cs="仿宋_GB2312"/>
          <w:color w:val="333333"/>
          <w:spacing w:val="6"/>
          <w:sz w:val="28"/>
          <w:szCs w:val="28"/>
          <w:highlight w:val="none"/>
          <w:shd w:val="clear" w:color="auto" w:fill="FFFFFF"/>
        </w:rPr>
        <w:t>.00万元</w:t>
      </w:r>
      <w:r>
        <w:rPr>
          <w:rFonts w:hint="eastAsia" w:ascii="宋体" w:hAnsi="宋体" w:cs="仿宋_GB2312"/>
          <w:color w:val="333333"/>
          <w:spacing w:val="6"/>
          <w:sz w:val="28"/>
          <w:szCs w:val="28"/>
          <w:highlight w:val="none"/>
          <w:shd w:val="clear" w:color="auto" w:fill="FFFFFF"/>
          <w:lang w:eastAsia="zh-CN"/>
        </w:rPr>
        <w:t>，</w:t>
      </w:r>
      <w:r>
        <w:rPr>
          <w:rFonts w:hint="eastAsia" w:ascii="宋体" w:hAnsi="宋体" w:cs="仿宋_GB2312"/>
          <w:color w:val="333333"/>
          <w:spacing w:val="6"/>
          <w:sz w:val="28"/>
          <w:szCs w:val="28"/>
          <w:highlight w:val="none"/>
          <w:shd w:val="clear" w:color="auto" w:fill="FFFFFF"/>
        </w:rPr>
        <w:t>实际到位</w:t>
      </w:r>
      <w:r>
        <w:rPr>
          <w:rFonts w:hint="eastAsia" w:ascii="宋体" w:hAnsi="宋体" w:cs="仿宋_GB2312"/>
          <w:color w:val="333333"/>
          <w:spacing w:val="6"/>
          <w:sz w:val="28"/>
          <w:szCs w:val="28"/>
          <w:highlight w:val="none"/>
          <w:shd w:val="clear" w:color="auto" w:fill="FFFFFF"/>
          <w:lang w:val="en-US" w:eastAsia="zh-CN"/>
        </w:rPr>
        <w:t>92.76</w:t>
      </w:r>
      <w:r>
        <w:rPr>
          <w:rFonts w:hint="eastAsia" w:ascii="宋体" w:hAnsi="宋体" w:cs="仿宋_GB2312"/>
          <w:color w:val="333333"/>
          <w:spacing w:val="6"/>
          <w:sz w:val="28"/>
          <w:szCs w:val="28"/>
          <w:highlight w:val="none"/>
          <w:shd w:val="clear" w:color="auto" w:fill="FFFFFF"/>
        </w:rPr>
        <w:t>万元，资金到位率</w:t>
      </w:r>
      <w:r>
        <w:rPr>
          <w:rFonts w:hint="eastAsia" w:ascii="宋体" w:hAnsi="宋体" w:cs="仿宋_GB2312"/>
          <w:color w:val="333333"/>
          <w:spacing w:val="6"/>
          <w:sz w:val="28"/>
          <w:szCs w:val="28"/>
          <w:highlight w:val="none"/>
          <w:shd w:val="clear" w:color="auto" w:fill="FFFFFF"/>
          <w:lang w:val="en-US" w:eastAsia="zh-CN"/>
        </w:rPr>
        <w:t>98</w:t>
      </w:r>
      <w:r>
        <w:rPr>
          <w:rFonts w:hint="eastAsia" w:ascii="宋体" w:hAnsi="宋体" w:cs="仿宋_GB2312"/>
          <w:color w:val="333333"/>
          <w:spacing w:val="6"/>
          <w:sz w:val="28"/>
          <w:szCs w:val="28"/>
          <w:highlight w:val="none"/>
          <w:shd w:val="clear" w:color="auto" w:fill="FFFFFF"/>
        </w:rPr>
        <w:t>%</w:t>
      </w:r>
      <w:r>
        <w:rPr>
          <w:rFonts w:hint="eastAsia" w:ascii="宋体" w:hAnsi="宋体" w:cs="仿宋_GB2312"/>
          <w:color w:val="333333"/>
          <w:spacing w:val="6"/>
          <w:sz w:val="28"/>
          <w:szCs w:val="28"/>
          <w:highlight w:val="none"/>
          <w:shd w:val="clear" w:color="auto" w:fill="FFFFFF"/>
          <w:lang w:eastAsia="zh-CN"/>
        </w:rPr>
        <w:t>，</w:t>
      </w:r>
      <w:r>
        <w:rPr>
          <w:rFonts w:hint="eastAsia" w:ascii="宋体" w:hAnsi="宋体" w:cs="仿宋_GB2312"/>
          <w:color w:val="333333"/>
          <w:spacing w:val="6"/>
          <w:sz w:val="28"/>
          <w:szCs w:val="28"/>
          <w:highlight w:val="none"/>
          <w:shd w:val="clear" w:color="auto" w:fill="FFFFFF"/>
          <w:lang w:val="en-US" w:eastAsia="zh-CN"/>
        </w:rPr>
        <w:t>扣0.08分</w:t>
      </w:r>
      <w:r>
        <w:rPr>
          <w:rFonts w:hint="eastAsia" w:ascii="宋体" w:hAnsi="宋体" w:cs="仿宋_GB2312"/>
          <w:color w:val="333333"/>
          <w:spacing w:val="6"/>
          <w:sz w:val="28"/>
          <w:szCs w:val="28"/>
          <w:highlight w:val="none"/>
          <w:shd w:val="clear" w:color="auto" w:fill="FFFFFF"/>
        </w:rPr>
        <w:t>。</w:t>
      </w:r>
    </w:p>
    <w:p w14:paraId="1EA4DA05">
      <w:pPr>
        <w:pStyle w:val="5"/>
        <w:pageBreakBefore w:val="0"/>
        <w:wordWrap/>
        <w:overflowPunct/>
        <w:topLinePunct w:val="0"/>
        <w:bidi w:val="0"/>
        <w:spacing w:line="600" w:lineRule="exact"/>
        <w:ind w:firstLine="600"/>
        <w:textAlignment w:val="baseline"/>
        <w:rPr>
          <w:rFonts w:ascii="宋体" w:hAnsi="宋体"/>
          <w:sz w:val="28"/>
          <w:szCs w:val="28"/>
          <w:highlight w:val="none"/>
        </w:rPr>
      </w:pPr>
      <w:r>
        <w:rPr>
          <w:rFonts w:hint="eastAsia" w:ascii="宋体" w:hAnsi="宋体"/>
          <w:sz w:val="28"/>
          <w:szCs w:val="28"/>
          <w:highlight w:val="none"/>
        </w:rPr>
        <w:t>（3）预算执行率</w:t>
      </w:r>
    </w:p>
    <w:p w14:paraId="1BA295CC">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12"/>
        <w:jc w:val="both"/>
        <w:textAlignment w:val="baseline"/>
        <w:rPr>
          <w:rFonts w:ascii="宋体" w:hAnsi="宋体" w:cs="仿宋_GB2312"/>
          <w:spacing w:val="6"/>
          <w:sz w:val="28"/>
          <w:szCs w:val="28"/>
        </w:rPr>
      </w:pPr>
      <w:r>
        <w:rPr>
          <w:rFonts w:hint="eastAsia" w:ascii="宋体" w:hAnsi="宋体" w:cs="仿宋_GB2312"/>
          <w:color w:val="333333"/>
          <w:spacing w:val="6"/>
          <w:sz w:val="28"/>
          <w:szCs w:val="28"/>
          <w:highlight w:val="none"/>
          <w:shd w:val="clear" w:color="auto" w:fill="FFFFFF"/>
        </w:rPr>
        <w:t>指标分值4分，得4分。202</w:t>
      </w:r>
      <w:r>
        <w:rPr>
          <w:rFonts w:hint="eastAsia" w:ascii="宋体" w:hAnsi="宋体" w:cs="仿宋_GB2312"/>
          <w:color w:val="333333"/>
          <w:spacing w:val="6"/>
          <w:sz w:val="28"/>
          <w:szCs w:val="28"/>
          <w:highlight w:val="none"/>
          <w:shd w:val="clear" w:color="auto" w:fill="FFFFFF"/>
          <w:lang w:val="en-US" w:eastAsia="zh-CN"/>
        </w:rPr>
        <w:t>5</w:t>
      </w:r>
      <w:r>
        <w:rPr>
          <w:rFonts w:hint="eastAsia" w:ascii="宋体" w:hAnsi="宋体" w:cs="仿宋_GB2312"/>
          <w:color w:val="333333"/>
          <w:spacing w:val="6"/>
          <w:sz w:val="28"/>
          <w:szCs w:val="28"/>
          <w:highlight w:val="none"/>
          <w:shd w:val="clear" w:color="auto" w:fill="FFFFFF"/>
        </w:rPr>
        <w:t>年度本项目预算资金到位</w:t>
      </w:r>
      <w:r>
        <w:rPr>
          <w:rFonts w:hint="eastAsia" w:ascii="宋体" w:hAnsi="宋体" w:cs="仿宋_GB2312"/>
          <w:color w:val="333333"/>
          <w:spacing w:val="6"/>
          <w:sz w:val="28"/>
          <w:szCs w:val="28"/>
          <w:highlight w:val="none"/>
          <w:shd w:val="clear" w:color="auto" w:fill="FFFFFF"/>
          <w:lang w:val="en-US" w:eastAsia="zh-CN"/>
        </w:rPr>
        <w:t>92.67</w:t>
      </w:r>
      <w:r>
        <w:rPr>
          <w:rFonts w:hint="eastAsia" w:ascii="宋体" w:hAnsi="宋体" w:cs="仿宋_GB2312"/>
          <w:color w:val="333333"/>
          <w:spacing w:val="6"/>
          <w:sz w:val="28"/>
          <w:szCs w:val="28"/>
          <w:highlight w:val="none"/>
          <w:shd w:val="clear" w:color="auto" w:fill="FFFFFF"/>
        </w:rPr>
        <w:t>万元，实际使用</w:t>
      </w:r>
      <w:r>
        <w:rPr>
          <w:rFonts w:hint="eastAsia" w:ascii="宋体" w:hAnsi="宋体" w:cs="仿宋_GB2312"/>
          <w:color w:val="333333"/>
          <w:spacing w:val="6"/>
          <w:sz w:val="28"/>
          <w:szCs w:val="28"/>
          <w:highlight w:val="none"/>
          <w:shd w:val="clear" w:color="auto" w:fill="FFFFFF"/>
          <w:lang w:val="en-US" w:eastAsia="zh-CN"/>
        </w:rPr>
        <w:t>92.67</w:t>
      </w:r>
      <w:r>
        <w:rPr>
          <w:rFonts w:hint="eastAsia" w:ascii="宋体" w:hAnsi="宋体" w:cs="仿宋_GB2312"/>
          <w:color w:val="333333"/>
          <w:spacing w:val="6"/>
          <w:sz w:val="28"/>
          <w:szCs w:val="28"/>
          <w:shd w:val="clear" w:color="auto" w:fill="FFFFFF"/>
        </w:rPr>
        <w:t>元，预算执行率为100.00%。</w:t>
      </w:r>
    </w:p>
    <w:p w14:paraId="787E055B">
      <w:pPr>
        <w:pStyle w:val="3"/>
        <w:pageBreakBefore w:val="0"/>
        <w:wordWrap/>
        <w:overflowPunct/>
        <w:topLinePunct w:val="0"/>
        <w:bidi w:val="0"/>
        <w:spacing w:line="600" w:lineRule="exact"/>
        <w:ind w:firstLine="602"/>
        <w:textAlignment w:val="baseline"/>
        <w:rPr>
          <w:rFonts w:ascii="宋体" w:hAnsi="宋体"/>
          <w:sz w:val="28"/>
          <w:szCs w:val="28"/>
          <w:highlight w:val="none"/>
        </w:rPr>
      </w:pPr>
      <w:bookmarkStart w:id="129" w:name="_Toc15672"/>
      <w:bookmarkStart w:id="130" w:name="_Toc17590"/>
      <w:bookmarkStart w:id="131" w:name="_Toc9438"/>
      <w:r>
        <w:rPr>
          <w:rFonts w:hint="eastAsia" w:ascii="宋体" w:hAnsi="宋体"/>
          <w:sz w:val="28"/>
          <w:szCs w:val="28"/>
          <w:highlight w:val="none"/>
        </w:rPr>
        <w:t>（三）产出情况分析</w:t>
      </w:r>
      <w:bookmarkEnd w:id="129"/>
      <w:bookmarkEnd w:id="130"/>
      <w:bookmarkEnd w:id="131"/>
    </w:p>
    <w:p w14:paraId="2ADA9CF6">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spacing w:val="6"/>
          <w:sz w:val="28"/>
          <w:szCs w:val="28"/>
          <w:highlight w:val="none"/>
        </w:rPr>
      </w:pPr>
      <w:r>
        <w:rPr>
          <w:rFonts w:hint="eastAsia" w:ascii="宋体" w:hAnsi="宋体" w:cs="仿宋_GB2312"/>
          <w:color w:val="333333"/>
          <w:spacing w:val="6"/>
          <w:sz w:val="28"/>
          <w:szCs w:val="28"/>
          <w:highlight w:val="none"/>
          <w:shd w:val="clear" w:color="auto" w:fill="FFFFFF"/>
        </w:rPr>
        <w:t>“产出”指标涉及二级指标4个，三级指标4个，总分值35分，得分</w:t>
      </w:r>
      <w:r>
        <w:rPr>
          <w:rFonts w:hint="eastAsia" w:ascii="宋体" w:hAnsi="宋体" w:cs="仿宋_GB2312"/>
          <w:color w:val="333333"/>
          <w:spacing w:val="6"/>
          <w:sz w:val="28"/>
          <w:szCs w:val="28"/>
          <w:highlight w:val="none"/>
          <w:shd w:val="clear" w:color="auto" w:fill="FFFFFF"/>
          <w:lang w:val="en-US" w:eastAsia="zh-CN"/>
        </w:rPr>
        <w:t>30.5</w:t>
      </w:r>
      <w:r>
        <w:rPr>
          <w:rFonts w:hint="eastAsia" w:ascii="宋体" w:hAnsi="宋体" w:cs="仿宋_GB2312"/>
          <w:color w:val="333333"/>
          <w:spacing w:val="6"/>
          <w:sz w:val="28"/>
          <w:szCs w:val="28"/>
          <w:highlight w:val="none"/>
          <w:shd w:val="clear" w:color="auto" w:fill="FFFFFF"/>
        </w:rPr>
        <w:t>分，得分率为</w:t>
      </w:r>
      <w:r>
        <w:rPr>
          <w:rFonts w:hint="eastAsia" w:ascii="宋体" w:hAnsi="宋体" w:cs="仿宋_GB2312"/>
          <w:color w:val="333333"/>
          <w:spacing w:val="6"/>
          <w:sz w:val="28"/>
          <w:szCs w:val="28"/>
          <w:highlight w:val="none"/>
          <w:shd w:val="clear" w:color="auto" w:fill="FFFFFF"/>
          <w:lang w:val="en-US" w:eastAsia="zh-CN"/>
        </w:rPr>
        <w:t>87.14</w:t>
      </w:r>
      <w:r>
        <w:rPr>
          <w:rFonts w:hint="eastAsia" w:ascii="宋体" w:hAnsi="宋体" w:cs="仿宋_GB2312"/>
          <w:color w:val="333333"/>
          <w:spacing w:val="6"/>
          <w:sz w:val="28"/>
          <w:szCs w:val="28"/>
          <w:highlight w:val="none"/>
          <w:shd w:val="clear" w:color="auto" w:fill="FFFFFF"/>
        </w:rPr>
        <w:t>%。</w:t>
      </w:r>
    </w:p>
    <w:p w14:paraId="06D9A690">
      <w:pPr>
        <w:pStyle w:val="4"/>
        <w:pageBreakBefore w:val="0"/>
        <w:wordWrap/>
        <w:overflowPunct/>
        <w:topLinePunct w:val="0"/>
        <w:bidi w:val="0"/>
        <w:spacing w:line="600" w:lineRule="exact"/>
        <w:ind w:firstLine="600"/>
        <w:textAlignment w:val="baseline"/>
        <w:rPr>
          <w:rFonts w:ascii="宋体" w:hAnsi="宋体"/>
          <w:sz w:val="28"/>
          <w:szCs w:val="28"/>
          <w:highlight w:val="none"/>
        </w:rPr>
      </w:pPr>
      <w:bookmarkStart w:id="132" w:name="_Toc30057"/>
      <w:bookmarkStart w:id="133" w:name="_Toc12281"/>
      <w:bookmarkStart w:id="134" w:name="_Toc13530"/>
      <w:r>
        <w:rPr>
          <w:rFonts w:hint="eastAsia" w:ascii="宋体" w:hAnsi="宋体"/>
          <w:sz w:val="28"/>
          <w:szCs w:val="28"/>
          <w:highlight w:val="none"/>
        </w:rPr>
        <w:t>1.产出数量（满分9分，得分</w:t>
      </w:r>
      <w:r>
        <w:rPr>
          <w:rFonts w:hint="eastAsia" w:ascii="宋体" w:hAnsi="宋体"/>
          <w:sz w:val="28"/>
          <w:szCs w:val="28"/>
          <w:highlight w:val="none"/>
          <w:lang w:val="en-US" w:eastAsia="zh-CN"/>
        </w:rPr>
        <w:t>7.5</w:t>
      </w:r>
      <w:r>
        <w:rPr>
          <w:rFonts w:hint="eastAsia" w:ascii="宋体" w:hAnsi="宋体"/>
          <w:sz w:val="28"/>
          <w:szCs w:val="28"/>
          <w:highlight w:val="none"/>
        </w:rPr>
        <w:t>分）</w:t>
      </w:r>
      <w:bookmarkEnd w:id="132"/>
      <w:bookmarkEnd w:id="133"/>
      <w:bookmarkEnd w:id="134"/>
    </w:p>
    <w:p w14:paraId="6E15776F">
      <w:pPr>
        <w:pStyle w:val="5"/>
        <w:pageBreakBefore w:val="0"/>
        <w:wordWrap/>
        <w:overflowPunct/>
        <w:topLinePunct w:val="0"/>
        <w:bidi w:val="0"/>
        <w:spacing w:line="600" w:lineRule="exact"/>
        <w:ind w:firstLine="600"/>
        <w:textAlignment w:val="baseline"/>
        <w:rPr>
          <w:rFonts w:ascii="宋体" w:hAnsi="宋体"/>
          <w:sz w:val="28"/>
          <w:szCs w:val="28"/>
          <w:highlight w:val="none"/>
        </w:rPr>
      </w:pPr>
      <w:r>
        <w:rPr>
          <w:rFonts w:hint="eastAsia" w:ascii="宋体" w:hAnsi="宋体"/>
          <w:sz w:val="28"/>
          <w:szCs w:val="28"/>
          <w:highlight w:val="none"/>
        </w:rPr>
        <w:t>工程完工度</w:t>
      </w:r>
    </w:p>
    <w:p w14:paraId="49E96B5A">
      <w:pPr>
        <w:pStyle w:val="11"/>
        <w:pageBreakBefore w:val="0"/>
        <w:widowControl w:val="0"/>
        <w:kinsoku/>
        <w:wordWrap/>
        <w:overflowPunct/>
        <w:topLinePunct w:val="0"/>
        <w:autoSpaceDE/>
        <w:autoSpaceDN/>
        <w:bidi w:val="0"/>
        <w:adjustRightInd/>
        <w:snapToGrid/>
        <w:spacing w:beforeAutospacing="0" w:afterAutospacing="0" w:line="600" w:lineRule="exact"/>
        <w:ind w:firstLine="612"/>
        <w:jc w:val="both"/>
        <w:textAlignment w:val="baseline"/>
        <w:rPr>
          <w:rFonts w:ascii="宋体" w:hAnsi="宋体" w:cs="仿宋_GB2312"/>
          <w:color w:val="333333"/>
          <w:spacing w:val="6"/>
          <w:sz w:val="28"/>
          <w:szCs w:val="28"/>
          <w:highlight w:val="none"/>
          <w:shd w:val="clear" w:color="auto" w:fill="FFFFFF"/>
        </w:rPr>
      </w:pPr>
      <w:r>
        <w:rPr>
          <w:rFonts w:hint="eastAsia" w:ascii="宋体" w:hAnsi="宋体" w:cs="仿宋_GB2312"/>
          <w:color w:val="333333"/>
          <w:spacing w:val="6"/>
          <w:sz w:val="28"/>
          <w:szCs w:val="28"/>
          <w:highlight w:val="none"/>
          <w:shd w:val="clear" w:color="auto" w:fill="FFFFFF"/>
        </w:rPr>
        <w:t>指标分值9分，得</w:t>
      </w:r>
      <w:r>
        <w:rPr>
          <w:rFonts w:hint="eastAsia" w:ascii="宋体" w:hAnsi="宋体" w:cs="仿宋_GB2312"/>
          <w:color w:val="333333"/>
          <w:spacing w:val="6"/>
          <w:sz w:val="28"/>
          <w:szCs w:val="28"/>
          <w:highlight w:val="none"/>
          <w:shd w:val="clear" w:color="auto" w:fill="FFFFFF"/>
          <w:lang w:val="en-US" w:eastAsia="zh-CN"/>
        </w:rPr>
        <w:t>7.5</w:t>
      </w:r>
      <w:r>
        <w:rPr>
          <w:rFonts w:hint="eastAsia" w:ascii="宋体" w:hAnsi="宋体" w:cs="仿宋_GB2312"/>
          <w:color w:val="333333"/>
          <w:spacing w:val="6"/>
          <w:sz w:val="28"/>
          <w:szCs w:val="28"/>
          <w:highlight w:val="none"/>
          <w:shd w:val="clear" w:color="auto" w:fill="FFFFFF"/>
        </w:rPr>
        <w:t>分</w:t>
      </w:r>
      <w:r>
        <w:rPr>
          <w:rFonts w:hint="eastAsia" w:ascii="宋体" w:hAnsi="宋体" w:cs="仿宋_GB2312"/>
          <w:color w:val="333333"/>
          <w:spacing w:val="6"/>
          <w:sz w:val="28"/>
          <w:szCs w:val="28"/>
          <w:highlight w:val="none"/>
          <w:shd w:val="clear" w:color="auto" w:fill="FFFFFF"/>
          <w:lang w:eastAsia="zh-CN"/>
        </w:rPr>
        <w:t>，</w:t>
      </w:r>
      <w:r>
        <w:rPr>
          <w:rFonts w:hint="eastAsia" w:ascii="宋体" w:hAnsi="宋体" w:cs="仿宋_GB2312"/>
          <w:color w:val="333333"/>
          <w:spacing w:val="6"/>
          <w:sz w:val="28"/>
          <w:szCs w:val="28"/>
          <w:highlight w:val="none"/>
          <w:shd w:val="clear" w:color="auto" w:fill="FFFFFF"/>
          <w:lang w:val="en-US" w:eastAsia="zh-CN"/>
        </w:rPr>
        <w:t>扣1.5分</w:t>
      </w:r>
      <w:r>
        <w:rPr>
          <w:rFonts w:hint="eastAsia" w:ascii="宋体" w:hAnsi="宋体" w:cs="仿宋_GB2312"/>
          <w:color w:val="333333"/>
          <w:spacing w:val="6"/>
          <w:sz w:val="28"/>
          <w:szCs w:val="28"/>
          <w:highlight w:val="none"/>
          <w:shd w:val="clear" w:color="auto" w:fill="FFFFFF"/>
        </w:rPr>
        <w:t>。截至202</w:t>
      </w:r>
      <w:r>
        <w:rPr>
          <w:rFonts w:hint="eastAsia" w:ascii="宋体" w:hAnsi="宋体" w:cs="仿宋_GB2312"/>
          <w:color w:val="333333"/>
          <w:spacing w:val="6"/>
          <w:sz w:val="28"/>
          <w:szCs w:val="28"/>
          <w:highlight w:val="none"/>
          <w:shd w:val="clear" w:color="auto" w:fill="FFFFFF"/>
          <w:lang w:val="en-US" w:eastAsia="zh-CN"/>
        </w:rPr>
        <w:t>5</w:t>
      </w:r>
      <w:r>
        <w:rPr>
          <w:rFonts w:hint="eastAsia" w:ascii="宋体" w:hAnsi="宋体" w:cs="仿宋_GB2312"/>
          <w:color w:val="333333"/>
          <w:spacing w:val="6"/>
          <w:sz w:val="28"/>
          <w:szCs w:val="28"/>
          <w:highlight w:val="none"/>
          <w:shd w:val="clear" w:color="auto" w:fill="FFFFFF"/>
        </w:rPr>
        <w:t>年本项目主体工程，红线内配电工程、红线内外热力工程及换热站安装施工、红线外自来水配套工程、室内装饰工程、消防工程、通风空调及弱电工程、医疗专项工程、地下室机械车位安装、室外工程院区围墙、道路绿化景观工程、污水处理设备安装、标识牌安装工作等均已完工</w:t>
      </w:r>
      <w:r>
        <w:rPr>
          <w:rFonts w:hint="eastAsia" w:ascii="宋体" w:hAnsi="宋体" w:cs="仿宋_GB2312"/>
          <w:color w:val="333333"/>
          <w:spacing w:val="6"/>
          <w:sz w:val="28"/>
          <w:szCs w:val="28"/>
          <w:highlight w:val="none"/>
          <w:shd w:val="clear" w:color="auto" w:fill="FFFFFF"/>
          <w:lang w:eastAsia="zh-CN"/>
        </w:rPr>
        <w:t>。</w:t>
      </w:r>
      <w:r>
        <w:rPr>
          <w:rFonts w:hint="eastAsia" w:ascii="宋体" w:hAnsi="宋体" w:cs="仿宋_GB2312"/>
          <w:color w:val="333333"/>
          <w:spacing w:val="6"/>
          <w:sz w:val="28"/>
          <w:szCs w:val="28"/>
          <w:highlight w:val="none"/>
          <w:shd w:val="clear" w:color="auto" w:fill="FFFFFF"/>
          <w:lang w:val="en-US" w:eastAsia="zh-CN"/>
        </w:rPr>
        <w:t>本项目于2025年投入运行使用，但</w:t>
      </w:r>
      <w:r>
        <w:rPr>
          <w:rFonts w:hint="eastAsia" w:ascii="宋体" w:hAnsi="宋体" w:cs="仿宋_GB2312"/>
          <w:color w:val="333333"/>
          <w:spacing w:val="6"/>
          <w:sz w:val="28"/>
          <w:szCs w:val="28"/>
          <w:highlight w:val="none"/>
          <w:shd w:val="clear" w:color="auto" w:fill="FFFFFF"/>
        </w:rPr>
        <w:t>本项目在消防、人防、规划、档案、质检等部门联合验收阶段</w:t>
      </w:r>
      <w:r>
        <w:rPr>
          <w:rFonts w:hint="eastAsia" w:ascii="宋体" w:hAnsi="宋体" w:cs="仿宋_GB2312"/>
          <w:color w:val="333333"/>
          <w:spacing w:val="6"/>
          <w:sz w:val="28"/>
          <w:szCs w:val="28"/>
          <w:highlight w:val="none"/>
          <w:shd w:val="clear" w:color="auto" w:fill="FFFFFF"/>
          <w:lang w:eastAsia="zh-CN"/>
        </w:rPr>
        <w:t>，</w:t>
      </w:r>
      <w:r>
        <w:rPr>
          <w:rFonts w:hint="eastAsia" w:ascii="宋体" w:hAnsi="宋体" w:cs="仿宋_GB2312"/>
          <w:color w:val="333333"/>
          <w:spacing w:val="6"/>
          <w:sz w:val="28"/>
          <w:szCs w:val="28"/>
          <w:highlight w:val="none"/>
          <w:shd w:val="clear" w:color="auto" w:fill="FFFFFF"/>
          <w:lang w:val="en-US" w:eastAsia="zh-CN"/>
        </w:rPr>
        <w:t>验收尚未完成，扣1分。截至2025年度，投资规模17,184.56万元占总概算投资的比例为77%，未达到目标，扣0.5分。</w:t>
      </w:r>
    </w:p>
    <w:p w14:paraId="3A391123">
      <w:pPr>
        <w:pStyle w:val="4"/>
        <w:pageBreakBefore w:val="0"/>
        <w:wordWrap/>
        <w:overflowPunct/>
        <w:topLinePunct w:val="0"/>
        <w:bidi w:val="0"/>
        <w:spacing w:line="600" w:lineRule="exact"/>
        <w:ind w:firstLine="600"/>
        <w:textAlignment w:val="baseline"/>
        <w:rPr>
          <w:rFonts w:ascii="宋体" w:hAnsi="宋体"/>
          <w:sz w:val="28"/>
          <w:szCs w:val="28"/>
        </w:rPr>
      </w:pPr>
      <w:bookmarkStart w:id="135" w:name="_Toc29659"/>
      <w:bookmarkStart w:id="136" w:name="_Toc13696"/>
      <w:bookmarkStart w:id="137" w:name="_Toc6445"/>
      <w:r>
        <w:rPr>
          <w:rFonts w:hint="eastAsia" w:ascii="宋体" w:hAnsi="宋体"/>
          <w:sz w:val="28"/>
          <w:szCs w:val="28"/>
        </w:rPr>
        <w:t>2.产出质量（满分9分，得分9分）</w:t>
      </w:r>
      <w:bookmarkEnd w:id="135"/>
      <w:bookmarkEnd w:id="136"/>
      <w:bookmarkEnd w:id="137"/>
    </w:p>
    <w:p w14:paraId="4C9318B2">
      <w:pPr>
        <w:pStyle w:val="5"/>
        <w:pageBreakBefore w:val="0"/>
        <w:wordWrap/>
        <w:overflowPunct/>
        <w:topLinePunct w:val="0"/>
        <w:bidi w:val="0"/>
        <w:spacing w:line="600" w:lineRule="exact"/>
        <w:ind w:firstLine="600"/>
        <w:textAlignment w:val="baseline"/>
        <w:rPr>
          <w:rFonts w:ascii="宋体" w:hAnsi="宋体"/>
          <w:sz w:val="28"/>
          <w:szCs w:val="28"/>
        </w:rPr>
      </w:pPr>
      <w:r>
        <w:rPr>
          <w:rFonts w:hint="eastAsia" w:ascii="宋体" w:hAnsi="宋体"/>
          <w:sz w:val="28"/>
          <w:szCs w:val="28"/>
        </w:rPr>
        <w:t>质量达标</w:t>
      </w:r>
    </w:p>
    <w:p w14:paraId="697B3389">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hint="eastAsia" w:ascii="宋体" w:hAnsi="宋体" w:cs="仿宋_GB2312"/>
          <w:color w:val="333333"/>
          <w:spacing w:val="6"/>
          <w:sz w:val="28"/>
          <w:szCs w:val="28"/>
          <w:highlight w:val="none"/>
          <w:shd w:val="clear" w:color="auto" w:fill="FFFFFF"/>
        </w:rPr>
      </w:pPr>
      <w:r>
        <w:rPr>
          <w:rFonts w:hint="eastAsia" w:ascii="宋体" w:hAnsi="宋体" w:cs="仿宋_GB2312"/>
          <w:color w:val="333333"/>
          <w:spacing w:val="6"/>
          <w:sz w:val="28"/>
          <w:szCs w:val="28"/>
          <w:highlight w:val="none"/>
          <w:shd w:val="clear" w:color="auto" w:fill="FFFFFF"/>
        </w:rPr>
        <w:t>指标分值9分，得9分。依据长春市宽城区中医院提供的情况说明，本项目在建工程施工现场安全质量管理到位，材料送检全部合格，符合国家相关行业的质量检测标准，不存在其他隐患。</w:t>
      </w:r>
      <w:bookmarkStart w:id="138" w:name="_Toc16283"/>
      <w:bookmarkStart w:id="139" w:name="_Toc25935"/>
      <w:bookmarkStart w:id="140" w:name="_Toc26184"/>
    </w:p>
    <w:p w14:paraId="7CA35B17">
      <w:pPr>
        <w:pStyle w:val="11"/>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600" w:lineRule="exact"/>
        <w:ind w:firstLine="560" w:firstLineChars="200"/>
        <w:textAlignment w:val="baseline"/>
        <w:rPr>
          <w:rFonts w:hint="eastAsia" w:ascii="宋体" w:hAnsi="宋体" w:eastAsia="仿宋_GB2312" w:cs="Arial"/>
          <w:snapToGrid w:val="0"/>
          <w:color w:val="000000"/>
          <w:sz w:val="28"/>
          <w:szCs w:val="28"/>
          <w:lang w:val="en-US" w:eastAsia="zh-CN" w:bidi="ar-SA"/>
        </w:rPr>
      </w:pPr>
      <w:r>
        <w:rPr>
          <w:rFonts w:hint="eastAsia" w:ascii="宋体" w:hAnsi="宋体" w:eastAsia="仿宋_GB2312" w:cs="Arial"/>
          <w:snapToGrid w:val="0"/>
          <w:color w:val="000000"/>
          <w:sz w:val="28"/>
          <w:szCs w:val="28"/>
          <w:lang w:val="en-US" w:eastAsia="zh-CN" w:bidi="ar-SA"/>
        </w:rPr>
        <w:t>产出时效（满分8分，得分</w:t>
      </w:r>
      <w:r>
        <w:rPr>
          <w:rFonts w:hint="eastAsia" w:ascii="宋体" w:hAnsi="宋体" w:cs="Arial"/>
          <w:snapToGrid w:val="0"/>
          <w:color w:val="000000"/>
          <w:sz w:val="28"/>
          <w:szCs w:val="28"/>
          <w:lang w:val="en-US" w:eastAsia="zh-CN" w:bidi="ar-SA"/>
        </w:rPr>
        <w:t>5</w:t>
      </w:r>
      <w:r>
        <w:rPr>
          <w:rFonts w:hint="eastAsia" w:ascii="宋体" w:hAnsi="宋体" w:eastAsia="仿宋_GB2312" w:cs="Arial"/>
          <w:snapToGrid w:val="0"/>
          <w:color w:val="000000"/>
          <w:sz w:val="28"/>
          <w:szCs w:val="28"/>
          <w:lang w:val="en-US" w:eastAsia="zh-CN" w:bidi="ar-SA"/>
        </w:rPr>
        <w:t>分）</w:t>
      </w:r>
      <w:bookmarkEnd w:id="138"/>
      <w:bookmarkEnd w:id="139"/>
      <w:bookmarkEnd w:id="140"/>
    </w:p>
    <w:p w14:paraId="312F815C">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560" w:firstLineChars="200"/>
        <w:textAlignment w:val="baseline"/>
        <w:rPr>
          <w:rFonts w:hint="eastAsia" w:ascii="宋体" w:hAnsi="宋体" w:eastAsia="仿宋_GB2312" w:cs="Arial"/>
          <w:snapToGrid w:val="0"/>
          <w:color w:val="000000"/>
          <w:sz w:val="28"/>
          <w:szCs w:val="28"/>
          <w:lang w:val="en-US" w:eastAsia="zh-CN" w:bidi="ar-SA"/>
        </w:rPr>
      </w:pPr>
      <w:r>
        <w:rPr>
          <w:rFonts w:hint="eastAsia" w:ascii="宋体" w:hAnsi="宋体" w:eastAsia="仿宋_GB2312" w:cs="Arial"/>
          <w:snapToGrid w:val="0"/>
          <w:color w:val="000000"/>
          <w:sz w:val="28"/>
          <w:szCs w:val="28"/>
          <w:lang w:val="en-US" w:eastAsia="zh-CN" w:bidi="ar-SA"/>
        </w:rPr>
        <w:t>开工竣工及时率</w:t>
      </w:r>
    </w:p>
    <w:p w14:paraId="13AAF1FF">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highlight w:val="none"/>
          <w:shd w:val="clear" w:color="auto" w:fill="FFFFFF"/>
        </w:rPr>
      </w:pPr>
      <w:r>
        <w:rPr>
          <w:rFonts w:hint="eastAsia" w:ascii="宋体" w:hAnsi="宋体" w:cs="仿宋_GB2312"/>
          <w:color w:val="333333"/>
          <w:spacing w:val="6"/>
          <w:sz w:val="28"/>
          <w:szCs w:val="28"/>
          <w:highlight w:val="none"/>
          <w:shd w:val="clear" w:color="auto" w:fill="FFFFFF"/>
        </w:rPr>
        <w:t>指标分值8分，得分</w:t>
      </w:r>
      <w:r>
        <w:rPr>
          <w:rFonts w:hint="eastAsia" w:ascii="宋体" w:hAnsi="宋体" w:cs="仿宋_GB2312"/>
          <w:color w:val="333333"/>
          <w:spacing w:val="6"/>
          <w:sz w:val="28"/>
          <w:szCs w:val="28"/>
          <w:highlight w:val="none"/>
          <w:shd w:val="clear" w:color="auto" w:fill="FFFFFF"/>
          <w:lang w:val="en-US" w:eastAsia="zh-CN"/>
        </w:rPr>
        <w:t>5</w:t>
      </w:r>
      <w:r>
        <w:rPr>
          <w:rFonts w:hint="eastAsia" w:ascii="宋体" w:hAnsi="宋体" w:cs="仿宋_GB2312"/>
          <w:color w:val="333333"/>
          <w:spacing w:val="6"/>
          <w:sz w:val="28"/>
          <w:szCs w:val="28"/>
          <w:highlight w:val="none"/>
          <w:shd w:val="clear" w:color="auto" w:fill="FFFFFF"/>
        </w:rPr>
        <w:t>分，扣</w:t>
      </w:r>
      <w:r>
        <w:rPr>
          <w:rFonts w:hint="eastAsia" w:ascii="宋体" w:hAnsi="宋体" w:cs="仿宋_GB2312"/>
          <w:color w:val="333333"/>
          <w:spacing w:val="6"/>
          <w:sz w:val="28"/>
          <w:szCs w:val="28"/>
          <w:highlight w:val="none"/>
          <w:shd w:val="clear" w:color="auto" w:fill="FFFFFF"/>
          <w:lang w:val="en-US" w:eastAsia="zh-CN"/>
        </w:rPr>
        <w:t>3</w:t>
      </w:r>
      <w:r>
        <w:rPr>
          <w:rFonts w:hint="eastAsia" w:ascii="宋体" w:hAnsi="宋体" w:cs="仿宋_GB2312"/>
          <w:color w:val="333333"/>
          <w:spacing w:val="6"/>
          <w:sz w:val="28"/>
          <w:szCs w:val="28"/>
          <w:highlight w:val="none"/>
          <w:shd w:val="clear" w:color="auto" w:fill="FFFFFF"/>
        </w:rPr>
        <w:t>分。</w:t>
      </w:r>
      <w:r>
        <w:rPr>
          <w:rFonts w:hint="eastAsia" w:ascii="宋体" w:hAnsi="宋体" w:cs="仿宋_GB2312"/>
          <w:color w:val="333333"/>
          <w:spacing w:val="6"/>
          <w:sz w:val="28"/>
          <w:szCs w:val="28"/>
          <w:highlight w:val="none"/>
          <w:shd w:val="clear" w:color="auto" w:fill="FFFFFF"/>
          <w:lang w:val="en-US" w:eastAsia="zh-CN"/>
        </w:rPr>
        <w:t>本项目不存在因</w:t>
      </w:r>
      <w:r>
        <w:rPr>
          <w:rFonts w:hint="eastAsia" w:ascii="宋体" w:hAnsi="宋体" w:cs="仿宋_GB2312"/>
          <w:color w:val="333333"/>
          <w:spacing w:val="6"/>
          <w:sz w:val="28"/>
          <w:szCs w:val="28"/>
          <w:highlight w:val="none"/>
          <w:shd w:val="clear" w:color="auto" w:fill="FFFFFF"/>
        </w:rPr>
        <w:t>资金拨付不及时影响项目进度</w:t>
      </w:r>
      <w:r>
        <w:rPr>
          <w:rFonts w:hint="eastAsia" w:ascii="宋体" w:hAnsi="宋体" w:cs="仿宋_GB2312"/>
          <w:color w:val="333333"/>
          <w:spacing w:val="6"/>
          <w:sz w:val="28"/>
          <w:szCs w:val="28"/>
          <w:highlight w:val="none"/>
          <w:shd w:val="clear" w:color="auto" w:fill="FFFFFF"/>
          <w:lang w:val="en-US" w:eastAsia="zh-CN"/>
        </w:rPr>
        <w:t>的情况；依</w:t>
      </w:r>
      <w:r>
        <w:rPr>
          <w:rFonts w:hint="eastAsia" w:ascii="宋体" w:hAnsi="宋体" w:cs="仿宋_GB2312"/>
          <w:color w:val="333333"/>
          <w:spacing w:val="6"/>
          <w:sz w:val="28"/>
          <w:szCs w:val="28"/>
          <w:highlight w:val="none"/>
          <w:shd w:val="clear" w:color="auto" w:fill="FFFFFF"/>
        </w:rPr>
        <w:t>据《关于调整长春市宽城区卫生综合体建设项目建设期限的通知》（长宽发改字【2021】157号），本项目建设工期为自2021年10月起至2024年10月止</w:t>
      </w:r>
      <w:r>
        <w:rPr>
          <w:rFonts w:hint="eastAsia" w:ascii="宋体" w:hAnsi="宋体" w:cs="仿宋_GB2312"/>
          <w:color w:val="333333"/>
          <w:spacing w:val="6"/>
          <w:sz w:val="28"/>
          <w:szCs w:val="28"/>
          <w:highlight w:val="none"/>
          <w:shd w:val="clear" w:color="auto" w:fill="FFFFFF"/>
          <w:lang w:eastAsia="zh-CN"/>
        </w:rPr>
        <w:t>，</w:t>
      </w:r>
      <w:r>
        <w:rPr>
          <w:rFonts w:hint="eastAsia" w:ascii="宋体" w:hAnsi="宋体" w:cs="仿宋_GB2312"/>
          <w:color w:val="333333"/>
          <w:spacing w:val="6"/>
          <w:sz w:val="28"/>
          <w:szCs w:val="28"/>
          <w:highlight w:val="none"/>
          <w:shd w:val="clear" w:color="auto" w:fill="FFFFFF"/>
          <w:lang w:val="en-US" w:eastAsia="zh-CN"/>
        </w:rPr>
        <w:t>依据</w:t>
      </w:r>
      <w:r>
        <w:rPr>
          <w:rFonts w:hint="eastAsia" w:ascii="宋体" w:hAnsi="宋体" w:cs="仿宋_GB2312"/>
          <w:color w:val="333333"/>
          <w:spacing w:val="6"/>
          <w:sz w:val="28"/>
          <w:szCs w:val="28"/>
          <w:highlight w:val="none"/>
          <w:shd w:val="clear" w:color="auto" w:fill="FFFFFF"/>
        </w:rPr>
        <w:t>《开工报告》本项目于2022年7月开工建设</w:t>
      </w:r>
      <w:r>
        <w:rPr>
          <w:rFonts w:hint="eastAsia" w:ascii="宋体" w:hAnsi="宋体" w:cs="仿宋_GB2312"/>
          <w:color w:val="333333"/>
          <w:spacing w:val="6"/>
          <w:sz w:val="28"/>
          <w:szCs w:val="28"/>
          <w:highlight w:val="none"/>
          <w:shd w:val="clear" w:color="auto" w:fill="FFFFFF"/>
          <w:lang w:val="en-US" w:eastAsia="zh-CN"/>
        </w:rPr>
        <w:t>；截止2024年10月项目未完工</w:t>
      </w:r>
      <w:r>
        <w:rPr>
          <w:rFonts w:hint="eastAsia" w:ascii="宋体" w:hAnsi="宋体" w:cs="仿宋_GB2312"/>
          <w:color w:val="333333"/>
          <w:spacing w:val="6"/>
          <w:sz w:val="28"/>
          <w:szCs w:val="28"/>
          <w:highlight w:val="none"/>
          <w:shd w:val="clear" w:color="auto" w:fill="FFFFFF"/>
        </w:rPr>
        <w:t>，扣</w:t>
      </w:r>
      <w:r>
        <w:rPr>
          <w:rFonts w:hint="eastAsia" w:ascii="宋体" w:hAnsi="宋体" w:cs="仿宋_GB2312"/>
          <w:color w:val="333333"/>
          <w:spacing w:val="6"/>
          <w:sz w:val="28"/>
          <w:szCs w:val="28"/>
          <w:highlight w:val="none"/>
          <w:shd w:val="clear" w:color="auto" w:fill="FFFFFF"/>
          <w:lang w:val="en-US" w:eastAsia="zh-CN"/>
        </w:rPr>
        <w:t>3</w:t>
      </w:r>
      <w:r>
        <w:rPr>
          <w:rFonts w:hint="eastAsia" w:ascii="宋体" w:hAnsi="宋体" w:cs="仿宋_GB2312"/>
          <w:color w:val="333333"/>
          <w:spacing w:val="6"/>
          <w:sz w:val="28"/>
          <w:szCs w:val="28"/>
          <w:highlight w:val="none"/>
          <w:shd w:val="clear" w:color="auto" w:fill="FFFFFF"/>
        </w:rPr>
        <w:t>分。</w:t>
      </w:r>
    </w:p>
    <w:p w14:paraId="50730F4C">
      <w:pPr>
        <w:pStyle w:val="4"/>
        <w:pageBreakBefore w:val="0"/>
        <w:wordWrap/>
        <w:overflowPunct/>
        <w:topLinePunct w:val="0"/>
        <w:bidi w:val="0"/>
        <w:spacing w:line="600" w:lineRule="exact"/>
        <w:ind w:firstLine="600"/>
        <w:textAlignment w:val="baseline"/>
        <w:rPr>
          <w:rFonts w:ascii="宋体" w:hAnsi="宋体"/>
          <w:sz w:val="28"/>
          <w:szCs w:val="28"/>
        </w:rPr>
      </w:pPr>
      <w:bookmarkStart w:id="141" w:name="_Toc19320"/>
      <w:bookmarkStart w:id="142" w:name="_Toc1845"/>
      <w:bookmarkStart w:id="143" w:name="_Toc29406"/>
      <w:r>
        <w:rPr>
          <w:rFonts w:hint="eastAsia" w:ascii="宋体" w:hAnsi="宋体"/>
          <w:sz w:val="28"/>
          <w:szCs w:val="28"/>
        </w:rPr>
        <w:t>4.产出成本（满分9分，得分</w:t>
      </w:r>
      <w:r>
        <w:rPr>
          <w:rFonts w:hint="eastAsia" w:ascii="宋体" w:hAnsi="宋体"/>
          <w:sz w:val="28"/>
          <w:szCs w:val="28"/>
          <w:lang w:val="en-US" w:eastAsia="zh-CN"/>
        </w:rPr>
        <w:t>9</w:t>
      </w:r>
      <w:r>
        <w:rPr>
          <w:rFonts w:hint="eastAsia" w:ascii="宋体" w:hAnsi="宋体"/>
          <w:sz w:val="28"/>
          <w:szCs w:val="28"/>
        </w:rPr>
        <w:t>分）</w:t>
      </w:r>
      <w:bookmarkEnd w:id="141"/>
      <w:bookmarkEnd w:id="142"/>
      <w:bookmarkEnd w:id="143"/>
    </w:p>
    <w:p w14:paraId="5D75A71A">
      <w:pPr>
        <w:pStyle w:val="5"/>
        <w:pageBreakBefore w:val="0"/>
        <w:wordWrap/>
        <w:overflowPunct/>
        <w:topLinePunct w:val="0"/>
        <w:bidi w:val="0"/>
        <w:spacing w:line="600" w:lineRule="exact"/>
        <w:ind w:firstLine="600"/>
        <w:textAlignment w:val="baseline"/>
        <w:rPr>
          <w:rFonts w:ascii="宋体" w:hAnsi="宋体"/>
          <w:sz w:val="28"/>
          <w:szCs w:val="28"/>
        </w:rPr>
      </w:pPr>
      <w:r>
        <w:rPr>
          <w:rFonts w:hint="eastAsia" w:ascii="宋体" w:hAnsi="宋体"/>
          <w:sz w:val="28"/>
          <w:szCs w:val="28"/>
        </w:rPr>
        <w:t>成本使用</w:t>
      </w:r>
    </w:p>
    <w:p w14:paraId="47DD059A">
      <w:pPr>
        <w:pStyle w:val="11"/>
        <w:pageBreakBefore w:val="0"/>
        <w:widowControl w:val="0"/>
        <w:kinsoku/>
        <w:wordWrap/>
        <w:overflowPunct/>
        <w:topLinePunct w:val="0"/>
        <w:autoSpaceDE/>
        <w:autoSpaceDN/>
        <w:bidi w:val="0"/>
        <w:adjustRightInd/>
        <w:snapToGrid/>
        <w:spacing w:beforeAutospacing="0" w:afterAutospacing="0" w:line="600" w:lineRule="exact"/>
        <w:ind w:firstLine="612"/>
        <w:jc w:val="both"/>
        <w:textAlignment w:val="baseline"/>
        <w:rPr>
          <w:rFonts w:hint="default" w:ascii="宋体" w:hAnsi="宋体" w:eastAsia="仿宋_GB2312" w:cs="仿宋_GB2312"/>
          <w:color w:val="333333"/>
          <w:spacing w:val="6"/>
          <w:sz w:val="28"/>
          <w:szCs w:val="28"/>
          <w:highlight w:val="none"/>
          <w:shd w:val="clear" w:color="auto" w:fill="FFFFFF"/>
          <w:lang w:val="en-US" w:eastAsia="zh-CN"/>
        </w:rPr>
      </w:pPr>
      <w:r>
        <w:rPr>
          <w:rFonts w:hint="eastAsia" w:ascii="宋体" w:hAnsi="宋体" w:cs="仿宋_GB2312"/>
          <w:color w:val="333333"/>
          <w:spacing w:val="6"/>
          <w:sz w:val="28"/>
          <w:szCs w:val="28"/>
          <w:shd w:val="clear" w:color="auto" w:fill="FFFFFF"/>
        </w:rPr>
        <w:t>指标分值9分，得分</w:t>
      </w:r>
      <w:r>
        <w:rPr>
          <w:rFonts w:hint="eastAsia" w:ascii="宋体" w:hAnsi="宋体" w:cs="仿宋_GB2312"/>
          <w:color w:val="333333"/>
          <w:spacing w:val="6"/>
          <w:sz w:val="28"/>
          <w:szCs w:val="28"/>
          <w:shd w:val="clear" w:color="auto" w:fill="FFFFFF"/>
          <w:lang w:val="en-US" w:eastAsia="zh-CN"/>
        </w:rPr>
        <w:t>9</w:t>
      </w:r>
      <w:r>
        <w:rPr>
          <w:rFonts w:hint="eastAsia" w:ascii="宋体" w:hAnsi="宋体" w:cs="仿宋_GB2312"/>
          <w:color w:val="333333"/>
          <w:spacing w:val="6"/>
          <w:sz w:val="28"/>
          <w:szCs w:val="28"/>
          <w:shd w:val="clear" w:color="auto" w:fill="FFFFFF"/>
        </w:rPr>
        <w:t>分</w:t>
      </w:r>
      <w:r>
        <w:rPr>
          <w:rFonts w:hint="eastAsia" w:ascii="宋体" w:hAnsi="宋体" w:cs="仿宋_GB2312"/>
          <w:color w:val="333333"/>
          <w:spacing w:val="6"/>
          <w:sz w:val="28"/>
          <w:szCs w:val="28"/>
          <w:highlight w:val="none"/>
          <w:shd w:val="clear" w:color="auto" w:fill="FFFFFF"/>
        </w:rPr>
        <w:t>。本项目</w:t>
      </w:r>
      <w:r>
        <w:rPr>
          <w:rFonts w:hint="eastAsia" w:ascii="宋体" w:hAnsi="宋体" w:cs="仿宋_GB2312"/>
          <w:color w:val="333333"/>
          <w:spacing w:val="6"/>
          <w:sz w:val="28"/>
          <w:szCs w:val="28"/>
          <w:highlight w:val="none"/>
          <w:shd w:val="clear" w:color="auto" w:fill="FFFFFF"/>
          <w:lang w:val="en-US" w:eastAsia="zh-CN"/>
        </w:rPr>
        <w:t>已拨付</w:t>
      </w:r>
      <w:r>
        <w:rPr>
          <w:rFonts w:hint="eastAsia" w:ascii="宋体" w:hAnsi="宋体" w:cs="仿宋_GB2312"/>
          <w:color w:val="333333"/>
          <w:spacing w:val="6"/>
          <w:sz w:val="28"/>
          <w:szCs w:val="28"/>
          <w:highlight w:val="none"/>
          <w:shd w:val="clear" w:color="auto" w:fill="FFFFFF"/>
        </w:rPr>
        <w:t>专项债券资金已</w:t>
      </w:r>
      <w:r>
        <w:rPr>
          <w:rFonts w:hint="eastAsia" w:ascii="宋体" w:hAnsi="宋体" w:cs="仿宋_GB2312"/>
          <w:color w:val="333333"/>
          <w:spacing w:val="6"/>
          <w:sz w:val="28"/>
          <w:szCs w:val="28"/>
          <w:highlight w:val="none"/>
          <w:shd w:val="clear" w:color="auto" w:fill="FFFFFF"/>
          <w:lang w:val="en-US" w:eastAsia="zh-CN"/>
        </w:rPr>
        <w:t>全部执行</w:t>
      </w:r>
      <w:r>
        <w:rPr>
          <w:rFonts w:hint="eastAsia" w:ascii="宋体" w:hAnsi="宋体" w:cs="仿宋_GB2312"/>
          <w:color w:val="333333"/>
          <w:spacing w:val="6"/>
          <w:sz w:val="28"/>
          <w:szCs w:val="28"/>
          <w:highlight w:val="none"/>
          <w:shd w:val="clear" w:color="auto" w:fill="FFFFFF"/>
        </w:rPr>
        <w:t>，且资本金已按照绩效目标拨付。</w:t>
      </w:r>
      <w:r>
        <w:rPr>
          <w:rFonts w:hint="eastAsia" w:ascii="宋体" w:hAnsi="宋体" w:cs="仿宋_GB2312"/>
          <w:color w:val="333333"/>
          <w:spacing w:val="6"/>
          <w:sz w:val="28"/>
          <w:szCs w:val="28"/>
          <w:highlight w:val="none"/>
          <w:shd w:val="clear" w:color="auto" w:fill="FFFFFF"/>
          <w:lang w:val="en-US" w:eastAsia="zh-CN"/>
        </w:rPr>
        <w:t>本项目落实了项目资本金的拨付，无违规拖欠等行为。项目整体投入未超总概算金额，成本控制在合理范围内。</w:t>
      </w:r>
    </w:p>
    <w:p w14:paraId="1B5CF66E">
      <w:pPr>
        <w:pStyle w:val="3"/>
        <w:keepNext w:val="0"/>
        <w:keepLines w:val="0"/>
        <w:pageBreakBefore w:val="0"/>
        <w:widowControl w:val="0"/>
        <w:wordWrap/>
        <w:overflowPunct/>
        <w:topLinePunct w:val="0"/>
        <w:bidi w:val="0"/>
        <w:spacing w:line="600" w:lineRule="exact"/>
        <w:ind w:firstLine="602"/>
        <w:textAlignment w:val="baseline"/>
        <w:rPr>
          <w:rFonts w:ascii="宋体" w:hAnsi="宋体"/>
          <w:sz w:val="28"/>
          <w:szCs w:val="28"/>
        </w:rPr>
      </w:pPr>
      <w:bookmarkStart w:id="144" w:name="_Toc16221"/>
      <w:bookmarkStart w:id="145" w:name="_Toc6708"/>
      <w:bookmarkStart w:id="146" w:name="_Toc24172"/>
      <w:r>
        <w:rPr>
          <w:rFonts w:hint="eastAsia" w:ascii="宋体" w:hAnsi="宋体"/>
          <w:sz w:val="28"/>
          <w:szCs w:val="28"/>
        </w:rPr>
        <w:t>（四）效益情况分析</w:t>
      </w:r>
      <w:bookmarkEnd w:id="144"/>
      <w:bookmarkEnd w:id="145"/>
      <w:bookmarkEnd w:id="146"/>
    </w:p>
    <w:p w14:paraId="6882D5DA">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“效益”指标涉及二级指标5个，三级指标5个，总分值20分，得分20分，得分率100.00%。</w:t>
      </w:r>
      <w:bookmarkStart w:id="147" w:name="_Toc27842"/>
      <w:bookmarkStart w:id="148" w:name="_Toc10299"/>
    </w:p>
    <w:p w14:paraId="57A90BA4">
      <w:pPr>
        <w:pStyle w:val="11"/>
        <w:pageBreakBefore w:val="0"/>
        <w:widowControl w:val="0"/>
        <w:kinsoku/>
        <w:wordWrap/>
        <w:overflowPunct/>
        <w:topLinePunct w:val="0"/>
        <w:autoSpaceDE/>
        <w:autoSpaceDN/>
        <w:bidi w:val="0"/>
        <w:adjustRightInd/>
        <w:snapToGrid/>
        <w:spacing w:beforeAutospacing="0" w:afterAutospacing="0" w:line="600" w:lineRule="exact"/>
        <w:ind w:firstLine="612"/>
        <w:textAlignment w:val="baseline"/>
        <w:rPr>
          <w:rFonts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1.社会效益（满分4分，得分4分）</w:t>
      </w:r>
    </w:p>
    <w:p w14:paraId="23091247">
      <w:pPr>
        <w:pStyle w:val="4"/>
        <w:keepNext w:val="0"/>
        <w:keepLines w:val="0"/>
        <w:pageBreakBefore w:val="0"/>
        <w:widowControl w:val="0"/>
        <w:wordWrap/>
        <w:overflowPunct/>
        <w:topLinePunct w:val="0"/>
        <w:bidi w:val="0"/>
        <w:spacing w:line="600" w:lineRule="exact"/>
        <w:ind w:firstLine="600"/>
        <w:textAlignment w:val="baseline"/>
        <w:rPr>
          <w:rFonts w:ascii="宋体" w:hAnsi="宋体"/>
          <w:sz w:val="28"/>
          <w:szCs w:val="28"/>
        </w:rPr>
      </w:pPr>
      <w:bookmarkStart w:id="149" w:name="_Toc22842"/>
      <w:r>
        <w:rPr>
          <w:rFonts w:hint="eastAsia" w:ascii="宋体" w:hAnsi="宋体"/>
          <w:sz w:val="28"/>
          <w:szCs w:val="28"/>
        </w:rPr>
        <w:t>社会影响度</w:t>
      </w:r>
      <w:bookmarkEnd w:id="149"/>
    </w:p>
    <w:p w14:paraId="280B14FC">
      <w:pPr>
        <w:pStyle w:val="4"/>
        <w:keepNext w:val="0"/>
        <w:keepLines w:val="0"/>
        <w:pageBreakBefore w:val="0"/>
        <w:widowControl w:val="0"/>
        <w:wordWrap/>
        <w:overflowPunct/>
        <w:topLinePunct w:val="0"/>
        <w:bidi w:val="0"/>
        <w:spacing w:line="600" w:lineRule="exact"/>
        <w:ind w:firstLine="600"/>
        <w:textAlignment w:val="baseline"/>
        <w:rPr>
          <w:rFonts w:ascii="宋体" w:hAnsi="宋体"/>
          <w:sz w:val="28"/>
          <w:szCs w:val="28"/>
        </w:rPr>
      </w:pPr>
      <w:bookmarkStart w:id="150" w:name="_Toc14081"/>
      <w:bookmarkStart w:id="151" w:name="_Toc9415"/>
      <w:bookmarkStart w:id="152" w:name="_Toc27436"/>
      <w:r>
        <w:rPr>
          <w:rFonts w:hint="eastAsia" w:ascii="宋体" w:hAnsi="宋体"/>
          <w:sz w:val="28"/>
          <w:szCs w:val="28"/>
        </w:rPr>
        <w:t>指标分值4分，得4分。本项目对完善宽城区医疗机构设置规划和宽城区医疗发展具有极大的推动作用，对促进宽城区的社会事业发展极为有利。本项目有较好的社会效益。加强公共医疗卫生基础设施建设，有利于满足人们对医疗保健、住院环境的更高要求，改善医疗环境和布局，发展宽城区医疗卫生事业；能提高宽城区人民群众基本医疗保健满足程度，有利于推进宽城区新型农村合作医疗试点工作。同时，能有效促进宽城区医疗卫生服务体系建设，完善服务功能、增强服务能力、提高服务质量、降低药品价格，使广大群众的疾病能及时得到医治，有地方看病，方便看病，而且价格实惠。</w:t>
      </w:r>
      <w:bookmarkEnd w:id="150"/>
      <w:bookmarkEnd w:id="151"/>
      <w:bookmarkEnd w:id="152"/>
    </w:p>
    <w:p w14:paraId="6D646E8E">
      <w:pPr>
        <w:pStyle w:val="4"/>
        <w:keepNext w:val="0"/>
        <w:keepLines w:val="0"/>
        <w:pageBreakBefore w:val="0"/>
        <w:widowControl w:val="0"/>
        <w:wordWrap/>
        <w:overflowPunct/>
        <w:topLinePunct w:val="0"/>
        <w:bidi w:val="0"/>
        <w:spacing w:line="600" w:lineRule="exact"/>
        <w:ind w:firstLine="600"/>
        <w:textAlignment w:val="baseline"/>
        <w:rPr>
          <w:rFonts w:ascii="宋体" w:hAnsi="宋体"/>
          <w:sz w:val="28"/>
          <w:szCs w:val="28"/>
        </w:rPr>
      </w:pPr>
      <w:bookmarkStart w:id="153" w:name="_Toc24390"/>
      <w:r>
        <w:rPr>
          <w:rFonts w:hint="eastAsia" w:ascii="宋体" w:hAnsi="宋体"/>
          <w:sz w:val="28"/>
          <w:szCs w:val="28"/>
        </w:rPr>
        <w:t>2.经济效益（满分4分，得分4分）</w:t>
      </w:r>
      <w:bookmarkEnd w:id="153"/>
    </w:p>
    <w:p w14:paraId="5E5CA689">
      <w:pPr>
        <w:pStyle w:val="4"/>
        <w:keepNext w:val="0"/>
        <w:keepLines w:val="0"/>
        <w:pageBreakBefore w:val="0"/>
        <w:widowControl w:val="0"/>
        <w:wordWrap/>
        <w:overflowPunct/>
        <w:topLinePunct w:val="0"/>
        <w:bidi w:val="0"/>
        <w:spacing w:line="600" w:lineRule="exact"/>
        <w:ind w:firstLine="600"/>
        <w:textAlignment w:val="baseline"/>
        <w:rPr>
          <w:rFonts w:ascii="宋体" w:hAnsi="宋体"/>
          <w:sz w:val="28"/>
          <w:szCs w:val="28"/>
        </w:rPr>
      </w:pPr>
      <w:bookmarkStart w:id="154" w:name="_Toc27410"/>
      <w:bookmarkStart w:id="155" w:name="_Toc5787"/>
      <w:r>
        <w:rPr>
          <w:rFonts w:hint="eastAsia" w:ascii="宋体" w:hAnsi="宋体"/>
          <w:sz w:val="28"/>
          <w:szCs w:val="28"/>
        </w:rPr>
        <w:t>经济带动</w:t>
      </w:r>
      <w:bookmarkEnd w:id="154"/>
      <w:bookmarkEnd w:id="155"/>
    </w:p>
    <w:p w14:paraId="3C423B2C">
      <w:pPr>
        <w:pStyle w:val="4"/>
        <w:keepNext w:val="0"/>
        <w:keepLines w:val="0"/>
        <w:pageBreakBefore w:val="0"/>
        <w:widowControl w:val="0"/>
        <w:kinsoku w:val="0"/>
        <w:wordWrap/>
        <w:overflowPunct/>
        <w:topLinePunct w:val="0"/>
        <w:autoSpaceDE w:val="0"/>
        <w:autoSpaceDN w:val="0"/>
        <w:bidi w:val="0"/>
        <w:adjustRightInd w:val="0"/>
        <w:snapToGrid w:val="0"/>
        <w:spacing w:line="600" w:lineRule="exact"/>
        <w:ind w:firstLine="600"/>
        <w:jc w:val="both"/>
        <w:textAlignment w:val="baseline"/>
        <w:rPr>
          <w:rFonts w:ascii="宋体" w:hAnsi="宋体"/>
          <w:sz w:val="28"/>
          <w:szCs w:val="28"/>
        </w:rPr>
      </w:pPr>
      <w:bookmarkStart w:id="156" w:name="_Toc28297"/>
      <w:bookmarkStart w:id="157" w:name="_Toc16729"/>
      <w:r>
        <w:rPr>
          <w:rFonts w:hint="eastAsia" w:ascii="宋体" w:hAnsi="宋体"/>
          <w:sz w:val="28"/>
          <w:szCs w:val="28"/>
        </w:rPr>
        <w:t>指标分值4分，得4分。根据收益与融资平衡方案，本项目本项目收入主要由住院收入、门诊收入、财政补贴收入、其他收入等组成。项目预测期实现门诊收入</w:t>
      </w:r>
      <w:r>
        <w:rPr>
          <w:rFonts w:hint="eastAsia" w:ascii="宋体" w:hAnsi="宋体"/>
          <w:sz w:val="28"/>
          <w:szCs w:val="28"/>
          <w:lang w:val="en-US" w:eastAsia="zh-CN"/>
        </w:rPr>
        <w:t>44</w:t>
      </w:r>
      <w:r>
        <w:rPr>
          <w:rFonts w:hint="eastAsia" w:ascii="宋体" w:hAnsi="宋体"/>
          <w:sz w:val="28"/>
          <w:szCs w:val="28"/>
        </w:rPr>
        <w:t>,</w:t>
      </w:r>
      <w:r>
        <w:rPr>
          <w:rFonts w:hint="eastAsia" w:ascii="宋体" w:hAnsi="宋体"/>
          <w:sz w:val="28"/>
          <w:szCs w:val="28"/>
          <w:lang w:val="en-US" w:eastAsia="zh-CN"/>
        </w:rPr>
        <w:t>558.93</w:t>
      </w:r>
      <w:r>
        <w:rPr>
          <w:rFonts w:hint="eastAsia" w:ascii="宋体" w:hAnsi="宋体"/>
          <w:sz w:val="28"/>
          <w:szCs w:val="28"/>
        </w:rPr>
        <w:t>万元、住院收入</w:t>
      </w:r>
      <w:r>
        <w:rPr>
          <w:rFonts w:hint="eastAsia" w:ascii="宋体" w:hAnsi="宋体"/>
          <w:sz w:val="28"/>
          <w:szCs w:val="28"/>
          <w:lang w:val="en-US" w:eastAsia="zh-CN"/>
        </w:rPr>
        <w:t>55</w:t>
      </w:r>
      <w:r>
        <w:rPr>
          <w:rFonts w:hint="eastAsia" w:ascii="宋体" w:hAnsi="宋体"/>
          <w:sz w:val="28"/>
          <w:szCs w:val="28"/>
        </w:rPr>
        <w:t>,</w:t>
      </w:r>
      <w:r>
        <w:rPr>
          <w:rFonts w:hint="eastAsia" w:ascii="宋体" w:hAnsi="宋体"/>
          <w:sz w:val="28"/>
          <w:szCs w:val="28"/>
          <w:lang w:val="en-US" w:eastAsia="zh-CN"/>
        </w:rPr>
        <w:t>267.84</w:t>
      </w:r>
      <w:r>
        <w:rPr>
          <w:rFonts w:hint="eastAsia" w:ascii="宋体" w:hAnsi="宋体"/>
          <w:sz w:val="28"/>
          <w:szCs w:val="28"/>
        </w:rPr>
        <w:t>万元和政府补助收入1</w:t>
      </w:r>
      <w:r>
        <w:rPr>
          <w:rFonts w:hint="eastAsia" w:ascii="宋体" w:hAnsi="宋体"/>
          <w:sz w:val="28"/>
          <w:szCs w:val="28"/>
          <w:lang w:val="en-US" w:eastAsia="zh-CN"/>
        </w:rPr>
        <w:t>0</w:t>
      </w:r>
      <w:r>
        <w:rPr>
          <w:rFonts w:hint="eastAsia" w:ascii="宋体" w:hAnsi="宋体"/>
          <w:sz w:val="28"/>
          <w:szCs w:val="28"/>
        </w:rPr>
        <w:t>,</w:t>
      </w:r>
      <w:r>
        <w:rPr>
          <w:rFonts w:hint="eastAsia" w:ascii="宋体" w:hAnsi="宋体"/>
          <w:sz w:val="28"/>
          <w:szCs w:val="28"/>
          <w:lang w:val="en-US" w:eastAsia="zh-CN"/>
        </w:rPr>
        <w:t>6</w:t>
      </w:r>
      <w:r>
        <w:rPr>
          <w:rFonts w:hint="eastAsia" w:ascii="宋体" w:hAnsi="宋体"/>
          <w:sz w:val="28"/>
          <w:szCs w:val="28"/>
        </w:rPr>
        <w:t>00.00万元，合计总收入</w:t>
      </w:r>
      <w:r>
        <w:rPr>
          <w:rFonts w:hint="eastAsia" w:ascii="宋体" w:hAnsi="宋体"/>
          <w:sz w:val="28"/>
          <w:szCs w:val="28"/>
          <w:lang w:val="en-US" w:eastAsia="zh-CN"/>
        </w:rPr>
        <w:t>110</w:t>
      </w:r>
      <w:r>
        <w:rPr>
          <w:rFonts w:hint="eastAsia" w:ascii="宋体" w:hAnsi="宋体"/>
          <w:sz w:val="28"/>
          <w:szCs w:val="28"/>
        </w:rPr>
        <w:t>,</w:t>
      </w:r>
      <w:r>
        <w:rPr>
          <w:rFonts w:hint="eastAsia" w:ascii="宋体" w:hAnsi="宋体"/>
          <w:sz w:val="28"/>
          <w:szCs w:val="28"/>
          <w:lang w:val="en-US" w:eastAsia="zh-CN"/>
        </w:rPr>
        <w:t>426.77</w:t>
      </w:r>
      <w:r>
        <w:rPr>
          <w:rFonts w:hint="eastAsia" w:ascii="宋体" w:hAnsi="宋体"/>
          <w:sz w:val="28"/>
          <w:szCs w:val="28"/>
        </w:rPr>
        <w:t>万元</w:t>
      </w:r>
      <w:r>
        <w:rPr>
          <w:rFonts w:hint="eastAsia" w:ascii="宋体" w:hAnsi="宋体"/>
          <w:sz w:val="28"/>
          <w:szCs w:val="28"/>
          <w:lang w:eastAsia="zh-CN"/>
        </w:rPr>
        <w:t>，</w:t>
      </w:r>
      <w:r>
        <w:rPr>
          <w:rFonts w:hint="eastAsia" w:ascii="宋体" w:hAnsi="宋体"/>
          <w:sz w:val="28"/>
          <w:szCs w:val="28"/>
        </w:rPr>
        <w:t>运营成本合计</w:t>
      </w:r>
      <w:r>
        <w:rPr>
          <w:rFonts w:hint="eastAsia" w:ascii="宋体" w:hAnsi="宋体"/>
          <w:sz w:val="28"/>
          <w:szCs w:val="28"/>
          <w:lang w:val="en-US" w:eastAsia="zh-CN"/>
        </w:rPr>
        <w:t>70</w:t>
      </w:r>
      <w:r>
        <w:rPr>
          <w:rFonts w:hint="eastAsia" w:ascii="宋体" w:hAnsi="宋体"/>
          <w:sz w:val="28"/>
          <w:szCs w:val="28"/>
        </w:rPr>
        <w:t>,</w:t>
      </w:r>
      <w:r>
        <w:rPr>
          <w:rFonts w:hint="eastAsia" w:ascii="宋体" w:hAnsi="宋体"/>
          <w:sz w:val="28"/>
          <w:szCs w:val="28"/>
          <w:lang w:val="en-US" w:eastAsia="zh-CN"/>
        </w:rPr>
        <w:t>057.09</w:t>
      </w:r>
      <w:r>
        <w:rPr>
          <w:rFonts w:hint="eastAsia" w:ascii="宋体" w:hAnsi="宋体"/>
          <w:sz w:val="28"/>
          <w:szCs w:val="28"/>
        </w:rPr>
        <w:t>万元</w:t>
      </w:r>
      <w:r>
        <w:rPr>
          <w:rFonts w:hint="eastAsia" w:ascii="宋体" w:hAnsi="宋体"/>
          <w:sz w:val="28"/>
          <w:szCs w:val="28"/>
          <w:lang w:eastAsia="zh-CN"/>
        </w:rPr>
        <w:t>，</w:t>
      </w:r>
      <w:r>
        <w:rPr>
          <w:rFonts w:hint="eastAsia" w:ascii="宋体" w:hAnsi="宋体"/>
          <w:sz w:val="28"/>
          <w:szCs w:val="28"/>
        </w:rPr>
        <w:t>项目收益</w:t>
      </w:r>
      <w:r>
        <w:rPr>
          <w:rFonts w:hint="eastAsia" w:ascii="宋体" w:hAnsi="宋体"/>
          <w:sz w:val="28"/>
          <w:szCs w:val="28"/>
          <w:lang w:val="en-US" w:eastAsia="zh-CN"/>
        </w:rPr>
        <w:t>40,369.68</w:t>
      </w:r>
      <w:r>
        <w:rPr>
          <w:rFonts w:hint="eastAsia" w:ascii="宋体" w:hAnsi="宋体"/>
          <w:sz w:val="28"/>
          <w:szCs w:val="28"/>
        </w:rPr>
        <w:t>万元。项目建设投资合规性与项目成熟度；该项目具有较强的收益性，可以带动区域经济发展。</w:t>
      </w:r>
      <w:bookmarkEnd w:id="156"/>
      <w:bookmarkEnd w:id="157"/>
    </w:p>
    <w:p w14:paraId="6804B4A2">
      <w:pPr>
        <w:pStyle w:val="4"/>
        <w:keepNext w:val="0"/>
        <w:keepLines w:val="0"/>
        <w:pageBreakBefore w:val="0"/>
        <w:widowControl w:val="0"/>
        <w:wordWrap/>
        <w:overflowPunct/>
        <w:topLinePunct w:val="0"/>
        <w:bidi w:val="0"/>
        <w:spacing w:line="600" w:lineRule="exact"/>
        <w:ind w:firstLine="600"/>
        <w:textAlignment w:val="baseline"/>
        <w:rPr>
          <w:rFonts w:ascii="宋体" w:hAnsi="宋体"/>
          <w:sz w:val="28"/>
          <w:szCs w:val="28"/>
        </w:rPr>
      </w:pPr>
      <w:bookmarkStart w:id="158" w:name="_Toc27483"/>
      <w:r>
        <w:rPr>
          <w:rFonts w:hint="eastAsia" w:ascii="宋体" w:hAnsi="宋体"/>
          <w:sz w:val="28"/>
          <w:szCs w:val="28"/>
        </w:rPr>
        <w:t>3.生态效益（满分4分，得分4分）</w:t>
      </w:r>
      <w:bookmarkEnd w:id="158"/>
    </w:p>
    <w:p w14:paraId="62B1EFE2">
      <w:pPr>
        <w:pStyle w:val="4"/>
        <w:keepNext w:val="0"/>
        <w:keepLines w:val="0"/>
        <w:pageBreakBefore w:val="0"/>
        <w:widowControl w:val="0"/>
        <w:wordWrap/>
        <w:overflowPunct/>
        <w:topLinePunct w:val="0"/>
        <w:bidi w:val="0"/>
        <w:spacing w:line="600" w:lineRule="exact"/>
        <w:ind w:firstLine="600"/>
        <w:textAlignment w:val="baseline"/>
        <w:rPr>
          <w:rFonts w:ascii="宋体" w:hAnsi="宋体"/>
          <w:sz w:val="28"/>
          <w:szCs w:val="28"/>
        </w:rPr>
      </w:pPr>
      <w:bookmarkStart w:id="159" w:name="_Toc22868"/>
      <w:bookmarkStart w:id="160" w:name="_Toc20577"/>
      <w:r>
        <w:rPr>
          <w:rFonts w:hint="eastAsia" w:ascii="宋体" w:hAnsi="宋体"/>
          <w:sz w:val="28"/>
          <w:szCs w:val="28"/>
        </w:rPr>
        <w:t>生态环保</w:t>
      </w:r>
      <w:bookmarkEnd w:id="159"/>
      <w:bookmarkEnd w:id="160"/>
    </w:p>
    <w:p w14:paraId="4AD78E14">
      <w:pPr>
        <w:pStyle w:val="4"/>
        <w:keepNext w:val="0"/>
        <w:keepLines w:val="0"/>
        <w:pageBreakBefore w:val="0"/>
        <w:widowControl w:val="0"/>
        <w:wordWrap/>
        <w:overflowPunct/>
        <w:topLinePunct w:val="0"/>
        <w:bidi w:val="0"/>
        <w:spacing w:line="600" w:lineRule="exact"/>
        <w:ind w:firstLine="600"/>
        <w:textAlignment w:val="baseline"/>
        <w:rPr>
          <w:rFonts w:ascii="宋体" w:hAnsi="宋体"/>
          <w:sz w:val="28"/>
          <w:szCs w:val="28"/>
        </w:rPr>
      </w:pPr>
      <w:bookmarkStart w:id="161" w:name="_Toc17061"/>
      <w:bookmarkStart w:id="162" w:name="_Toc19292"/>
      <w:r>
        <w:rPr>
          <w:rFonts w:hint="eastAsia" w:ascii="宋体" w:hAnsi="宋体"/>
          <w:sz w:val="28"/>
          <w:szCs w:val="28"/>
        </w:rPr>
        <w:t>指标分值4分，得4分。本项目工程建设过程中，按照环保法规、标准进行环境保护和水土保护，达到环境影响评价要求，未发生环保处罚情况。</w:t>
      </w:r>
      <w:bookmarkEnd w:id="161"/>
      <w:bookmarkEnd w:id="162"/>
    </w:p>
    <w:p w14:paraId="434BD453">
      <w:pPr>
        <w:pStyle w:val="4"/>
        <w:keepNext w:val="0"/>
        <w:keepLines w:val="0"/>
        <w:pageBreakBefore w:val="0"/>
        <w:widowControl w:val="0"/>
        <w:wordWrap/>
        <w:overflowPunct/>
        <w:topLinePunct w:val="0"/>
        <w:bidi w:val="0"/>
        <w:spacing w:line="600" w:lineRule="exact"/>
        <w:ind w:firstLine="600"/>
        <w:textAlignment w:val="baseline"/>
        <w:rPr>
          <w:rFonts w:ascii="宋体" w:hAnsi="宋体"/>
          <w:sz w:val="28"/>
          <w:szCs w:val="28"/>
          <w:highlight w:val="none"/>
        </w:rPr>
      </w:pPr>
      <w:bookmarkStart w:id="163" w:name="_Toc414"/>
      <w:r>
        <w:rPr>
          <w:rFonts w:hint="eastAsia" w:ascii="宋体" w:hAnsi="宋体"/>
          <w:sz w:val="28"/>
          <w:szCs w:val="28"/>
        </w:rPr>
        <w:t>4.可持</w:t>
      </w:r>
      <w:r>
        <w:rPr>
          <w:rFonts w:hint="eastAsia" w:ascii="宋体" w:hAnsi="宋体"/>
          <w:sz w:val="28"/>
          <w:szCs w:val="28"/>
          <w:highlight w:val="none"/>
        </w:rPr>
        <w:t>续影响（满分4分，得分4分）</w:t>
      </w:r>
      <w:bookmarkEnd w:id="163"/>
    </w:p>
    <w:p w14:paraId="49E84F30">
      <w:pPr>
        <w:pStyle w:val="4"/>
        <w:keepNext w:val="0"/>
        <w:keepLines w:val="0"/>
        <w:pageBreakBefore w:val="0"/>
        <w:widowControl w:val="0"/>
        <w:wordWrap/>
        <w:overflowPunct/>
        <w:topLinePunct w:val="0"/>
        <w:bidi w:val="0"/>
        <w:spacing w:line="600" w:lineRule="exact"/>
        <w:ind w:firstLine="600"/>
        <w:textAlignment w:val="baseline"/>
        <w:rPr>
          <w:rFonts w:ascii="宋体" w:hAnsi="宋体"/>
          <w:sz w:val="28"/>
          <w:szCs w:val="28"/>
          <w:highlight w:val="none"/>
        </w:rPr>
      </w:pPr>
      <w:bookmarkStart w:id="164" w:name="_Toc14652"/>
      <w:bookmarkStart w:id="165" w:name="_Toc5322"/>
      <w:r>
        <w:rPr>
          <w:rFonts w:hint="eastAsia" w:ascii="宋体" w:hAnsi="宋体"/>
          <w:sz w:val="28"/>
          <w:szCs w:val="28"/>
          <w:highlight w:val="none"/>
        </w:rPr>
        <w:t>可持续运营能力</w:t>
      </w:r>
      <w:bookmarkEnd w:id="164"/>
      <w:bookmarkEnd w:id="165"/>
    </w:p>
    <w:p w14:paraId="03041183">
      <w:pPr>
        <w:pStyle w:val="4"/>
        <w:keepNext w:val="0"/>
        <w:keepLines w:val="0"/>
        <w:pageBreakBefore w:val="0"/>
        <w:widowControl w:val="0"/>
        <w:wordWrap/>
        <w:overflowPunct/>
        <w:topLinePunct w:val="0"/>
        <w:bidi w:val="0"/>
        <w:spacing w:line="600" w:lineRule="exact"/>
        <w:ind w:firstLine="600"/>
        <w:jc w:val="both"/>
        <w:textAlignment w:val="baseline"/>
        <w:rPr>
          <w:rFonts w:ascii="宋体" w:hAnsi="宋体"/>
          <w:sz w:val="28"/>
          <w:szCs w:val="28"/>
          <w:highlight w:val="none"/>
        </w:rPr>
      </w:pPr>
      <w:bookmarkStart w:id="166" w:name="_Toc17635"/>
      <w:bookmarkStart w:id="167" w:name="_Toc29761"/>
      <w:r>
        <w:rPr>
          <w:rFonts w:hint="eastAsia" w:ascii="宋体" w:hAnsi="宋体"/>
          <w:sz w:val="28"/>
          <w:szCs w:val="28"/>
          <w:highlight w:val="none"/>
        </w:rPr>
        <w:t>指标分值4分，得4分。在符合国家重大区域发展战略情况下，根据可研报告，本项目建筑物结构设计使用年限为50年，本项目现在正在建设期，但相关性显著、绩效可持续性较强、实施方案基本有效、预期绩效具有可持续性，且专项债券资金投入风险基本可控，通过专项债券资金筹集及自筹资金支持，可保证项目后续建设的可持续性，同时设立了专门的管理部门，具备可持续运营能力。</w:t>
      </w:r>
      <w:bookmarkEnd w:id="166"/>
      <w:bookmarkEnd w:id="167"/>
    </w:p>
    <w:p w14:paraId="5EA99C00">
      <w:pPr>
        <w:pStyle w:val="4"/>
        <w:pageBreakBefore w:val="0"/>
        <w:wordWrap/>
        <w:overflowPunct/>
        <w:topLinePunct w:val="0"/>
        <w:bidi w:val="0"/>
        <w:spacing w:line="600" w:lineRule="exact"/>
        <w:ind w:firstLine="600"/>
        <w:textAlignment w:val="baseline"/>
        <w:rPr>
          <w:rFonts w:ascii="宋体" w:hAnsi="宋体"/>
          <w:sz w:val="28"/>
          <w:szCs w:val="28"/>
        </w:rPr>
      </w:pPr>
      <w:bookmarkStart w:id="168" w:name="_Toc1368"/>
      <w:r>
        <w:rPr>
          <w:rFonts w:hint="eastAsia" w:ascii="宋体" w:hAnsi="宋体"/>
          <w:sz w:val="28"/>
          <w:szCs w:val="28"/>
        </w:rPr>
        <w:t>5.满意度（满分4分，得分4分）</w:t>
      </w:r>
      <w:bookmarkEnd w:id="168"/>
    </w:p>
    <w:p w14:paraId="56CCB7EC">
      <w:pPr>
        <w:pStyle w:val="4"/>
        <w:pageBreakBefore w:val="0"/>
        <w:wordWrap/>
        <w:overflowPunct/>
        <w:topLinePunct w:val="0"/>
        <w:bidi w:val="0"/>
        <w:spacing w:line="600" w:lineRule="exact"/>
        <w:ind w:firstLine="600"/>
        <w:textAlignment w:val="baseline"/>
        <w:rPr>
          <w:rFonts w:ascii="宋体" w:hAnsi="宋体"/>
          <w:sz w:val="28"/>
          <w:szCs w:val="28"/>
        </w:rPr>
      </w:pPr>
      <w:bookmarkStart w:id="169" w:name="_Toc26858"/>
      <w:bookmarkStart w:id="170" w:name="_Toc18878"/>
      <w:r>
        <w:rPr>
          <w:rFonts w:hint="eastAsia" w:ascii="宋体" w:hAnsi="宋体"/>
          <w:sz w:val="28"/>
          <w:szCs w:val="28"/>
        </w:rPr>
        <w:t>受益对象满意度</w:t>
      </w:r>
      <w:bookmarkEnd w:id="169"/>
      <w:bookmarkEnd w:id="170"/>
    </w:p>
    <w:p w14:paraId="43257A92">
      <w:pPr>
        <w:pStyle w:val="11"/>
        <w:pageBreakBefore w:val="0"/>
        <w:widowControl w:val="0"/>
        <w:kinsoku/>
        <w:wordWrap/>
        <w:overflowPunct/>
        <w:topLinePunct w:val="0"/>
        <w:autoSpaceDE/>
        <w:autoSpaceDN/>
        <w:bidi w:val="0"/>
        <w:adjustRightInd/>
        <w:snapToGrid/>
        <w:spacing w:beforeAutospacing="0" w:afterAutospacing="0" w:line="600" w:lineRule="exact"/>
        <w:ind w:firstLine="600"/>
        <w:textAlignment w:val="baseline"/>
        <w:rPr>
          <w:rFonts w:ascii="宋体" w:hAnsi="宋体" w:cs="Arial"/>
          <w:sz w:val="28"/>
          <w:szCs w:val="28"/>
        </w:rPr>
      </w:pPr>
      <w:r>
        <w:rPr>
          <w:rFonts w:hint="eastAsia" w:ascii="宋体" w:hAnsi="宋体" w:cs="Arial"/>
          <w:sz w:val="28"/>
          <w:szCs w:val="28"/>
        </w:rPr>
        <w:t>指标分值4分，得4分。依据本次发放的问卷调查，本项目属地政府对建设进度、质量比较满意。专项债券项目施工过程中，各参建单位对工程款按合同拨付程度满意。社会公众对项目的建立也比较满意，方便周边群众就医，大大提高了就医效率。</w:t>
      </w:r>
      <w:bookmarkEnd w:id="147"/>
      <w:bookmarkEnd w:id="148"/>
    </w:p>
    <w:p w14:paraId="6A207124">
      <w:pPr>
        <w:pStyle w:val="2"/>
        <w:pageBreakBefore w:val="0"/>
        <w:numPr>
          <w:ilvl w:val="0"/>
          <w:numId w:val="3"/>
        </w:numPr>
        <w:wordWrap/>
        <w:overflowPunct/>
        <w:topLinePunct w:val="0"/>
        <w:bidi w:val="0"/>
        <w:spacing w:line="600" w:lineRule="exact"/>
        <w:ind w:firstLine="602"/>
        <w:textAlignment w:val="baseline"/>
        <w:rPr>
          <w:rFonts w:ascii="宋体" w:hAnsi="宋体"/>
          <w:sz w:val="28"/>
          <w:szCs w:val="28"/>
        </w:rPr>
      </w:pPr>
      <w:bookmarkStart w:id="171" w:name="_Toc6333"/>
      <w:bookmarkStart w:id="172" w:name="_Toc8656"/>
      <w:bookmarkStart w:id="173" w:name="_Toc12064"/>
      <w:r>
        <w:rPr>
          <w:rFonts w:hint="eastAsia" w:ascii="宋体" w:hAnsi="宋体"/>
          <w:sz w:val="28"/>
          <w:szCs w:val="28"/>
        </w:rPr>
        <w:t>存在的问题及原因分析</w:t>
      </w:r>
      <w:bookmarkEnd w:id="171"/>
      <w:bookmarkEnd w:id="172"/>
      <w:bookmarkEnd w:id="173"/>
    </w:p>
    <w:p w14:paraId="2B098405">
      <w:pPr>
        <w:pStyle w:val="3"/>
        <w:pageBreakBefore w:val="0"/>
        <w:wordWrap/>
        <w:overflowPunct/>
        <w:topLinePunct w:val="0"/>
        <w:bidi w:val="0"/>
        <w:spacing w:line="600" w:lineRule="exact"/>
        <w:ind w:firstLine="602"/>
        <w:textAlignment w:val="baseline"/>
        <w:rPr>
          <w:rFonts w:ascii="宋体" w:hAnsi="宋体"/>
          <w:sz w:val="28"/>
          <w:szCs w:val="28"/>
        </w:rPr>
      </w:pPr>
      <w:bookmarkStart w:id="174" w:name="_Toc29739"/>
      <w:bookmarkStart w:id="175" w:name="_Toc17669"/>
      <w:bookmarkStart w:id="176" w:name="_Toc5374"/>
      <w:bookmarkStart w:id="177" w:name="_Toc22176"/>
      <w:bookmarkStart w:id="178" w:name="_Toc9563"/>
      <w:r>
        <w:rPr>
          <w:rFonts w:hint="eastAsia" w:ascii="宋体" w:hAnsi="宋体"/>
          <w:sz w:val="28"/>
          <w:szCs w:val="28"/>
        </w:rPr>
        <w:t>（一）</w:t>
      </w:r>
      <w:bookmarkEnd w:id="174"/>
      <w:r>
        <w:rPr>
          <w:rFonts w:hint="eastAsia" w:ascii="宋体" w:hAnsi="宋体"/>
          <w:sz w:val="28"/>
          <w:szCs w:val="28"/>
        </w:rPr>
        <w:t>专项债券资金管理制度不够细化</w:t>
      </w:r>
      <w:bookmarkEnd w:id="175"/>
      <w:bookmarkEnd w:id="176"/>
      <w:bookmarkEnd w:id="177"/>
      <w:bookmarkEnd w:id="178"/>
    </w:p>
    <w:p w14:paraId="729D40EB">
      <w:pPr>
        <w:pageBreakBefore w:val="0"/>
        <w:wordWrap/>
        <w:overflowPunct/>
        <w:topLinePunct w:val="0"/>
        <w:bidi w:val="0"/>
        <w:spacing w:line="600" w:lineRule="exact"/>
        <w:ind w:firstLine="612"/>
        <w:textAlignment w:val="baseline"/>
        <w:rPr>
          <w:rFonts w:hint="eastAsia" w:ascii="宋体" w:hAnsi="宋体" w:cs="仿宋_GB2312"/>
          <w:color w:val="333333"/>
          <w:spacing w:val="6"/>
          <w:sz w:val="28"/>
          <w:szCs w:val="28"/>
          <w:shd w:val="clear" w:color="auto" w:fill="FFFFFF"/>
        </w:rPr>
      </w:pPr>
      <w:bookmarkStart w:id="179" w:name="_bookmark26"/>
      <w:bookmarkEnd w:id="179"/>
      <w:bookmarkStart w:id="180" w:name="_bookmark16"/>
      <w:bookmarkEnd w:id="180"/>
      <w:r>
        <w:rPr>
          <w:rFonts w:hint="eastAsia" w:ascii="宋体" w:hAnsi="宋体" w:cs="仿宋_GB2312"/>
          <w:color w:val="333333"/>
          <w:spacing w:val="6"/>
          <w:sz w:val="28"/>
          <w:szCs w:val="28"/>
          <w:shd w:val="clear" w:color="auto" w:fill="FFFFFF"/>
        </w:rPr>
        <w:t>项目实施单位制定了专项债券财务管理制度，但是制度内容过于宽泛，不够细化，可操作性差，同时未制度业务相关管理制度。</w:t>
      </w:r>
    </w:p>
    <w:p w14:paraId="10A039DF">
      <w:pPr>
        <w:keepNext w:val="0"/>
        <w:keepLines w:val="0"/>
        <w:pageBreakBefore w:val="0"/>
        <w:widowControl/>
        <w:kinsoku/>
        <w:wordWrap/>
        <w:overflowPunct/>
        <w:topLinePunct w:val="0"/>
        <w:autoSpaceDE w:val="0"/>
        <w:autoSpaceDN w:val="0"/>
        <w:bidi w:val="0"/>
        <w:adjustRightInd w:val="0"/>
        <w:snapToGrid w:val="0"/>
        <w:ind w:firstLine="586" w:firstLineChars="200"/>
        <w:jc w:val="both"/>
        <w:textAlignment w:val="baseline"/>
        <w:rPr>
          <w:rFonts w:hint="default" w:ascii="宋体" w:hAnsi="宋体" w:cs="仿宋_GB2312"/>
          <w:b/>
          <w:bCs/>
          <w:i w:val="0"/>
          <w:iCs w:val="0"/>
          <w:caps w:val="0"/>
          <w:color w:val="333333"/>
          <w:spacing w:val="6"/>
          <w:sz w:val="28"/>
          <w:szCs w:val="28"/>
          <w:shd w:val="clear" w:fill="FFFFFF"/>
          <w:lang w:val="en-US" w:eastAsia="zh-CN"/>
        </w:rPr>
      </w:pPr>
      <w:r>
        <w:rPr>
          <w:rFonts w:hint="eastAsia" w:ascii="宋体" w:hAnsi="宋体" w:cs="仿宋_GB2312"/>
          <w:b/>
          <w:bCs/>
          <w:i w:val="0"/>
          <w:iCs w:val="0"/>
          <w:caps w:val="0"/>
          <w:color w:val="333333"/>
          <w:spacing w:val="6"/>
          <w:sz w:val="28"/>
          <w:szCs w:val="28"/>
          <w:shd w:val="clear" w:fill="FFFFFF"/>
          <w:lang w:val="en-US" w:eastAsia="zh-CN"/>
        </w:rPr>
        <w:t>（二）未按时竣工验收</w:t>
      </w:r>
    </w:p>
    <w:p w14:paraId="1996E01B">
      <w:pPr>
        <w:keepNext w:val="0"/>
        <w:keepLines w:val="0"/>
        <w:pageBreakBefore w:val="0"/>
        <w:widowControl/>
        <w:kinsoku/>
        <w:wordWrap/>
        <w:overflowPunct/>
        <w:topLinePunct w:val="0"/>
        <w:autoSpaceDE w:val="0"/>
        <w:autoSpaceDN w:val="0"/>
        <w:bidi w:val="0"/>
        <w:adjustRightInd w:val="0"/>
        <w:snapToGrid w:val="0"/>
        <w:ind w:firstLine="584" w:firstLineChars="200"/>
        <w:jc w:val="both"/>
        <w:textAlignment w:val="baseline"/>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pPr>
      <w:r>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t>依据《关于调整长春市宽城区卫生综合体建设项目建设期限的通知》（长宽发改字【2021】157号），本项目建设工期为自2021年10月起至2024年10月止，截至2025年末，本项目</w:t>
      </w:r>
      <w:r>
        <w:rPr>
          <w:rFonts w:hint="eastAsia" w:ascii="宋体" w:hAnsi="宋体" w:cs="仿宋_GB2312"/>
          <w:i w:val="0"/>
          <w:iCs w:val="0"/>
          <w:caps w:val="0"/>
          <w:snapToGrid w:val="0"/>
          <w:color w:val="333333"/>
          <w:spacing w:val="6"/>
          <w:kern w:val="0"/>
          <w:sz w:val="28"/>
          <w:szCs w:val="28"/>
          <w:shd w:val="clear" w:fill="FFFFFF"/>
          <w:lang w:val="en-US" w:eastAsia="zh-CN" w:bidi="ar"/>
        </w:rPr>
        <w:t>虽已投入运行，但</w:t>
      </w:r>
      <w:r>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t>尚未完成验收工作，未按时</w:t>
      </w:r>
      <w:r>
        <w:rPr>
          <w:rFonts w:hint="eastAsia" w:ascii="宋体" w:hAnsi="宋体" w:cs="仿宋_GB2312"/>
          <w:i w:val="0"/>
          <w:iCs w:val="0"/>
          <w:caps w:val="0"/>
          <w:snapToGrid w:val="0"/>
          <w:color w:val="333333"/>
          <w:spacing w:val="6"/>
          <w:kern w:val="0"/>
          <w:sz w:val="28"/>
          <w:szCs w:val="28"/>
          <w:shd w:val="clear" w:fill="FFFFFF"/>
          <w:lang w:val="en-US" w:eastAsia="zh-CN" w:bidi="ar"/>
        </w:rPr>
        <w:t>完成</w:t>
      </w:r>
      <w:r>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t>竣工</w:t>
      </w:r>
      <w:r>
        <w:rPr>
          <w:rFonts w:hint="eastAsia" w:ascii="宋体" w:hAnsi="宋体" w:cs="仿宋_GB2312"/>
          <w:i w:val="0"/>
          <w:iCs w:val="0"/>
          <w:caps w:val="0"/>
          <w:snapToGrid w:val="0"/>
          <w:color w:val="333333"/>
          <w:spacing w:val="6"/>
          <w:kern w:val="0"/>
          <w:sz w:val="28"/>
          <w:szCs w:val="28"/>
          <w:shd w:val="clear" w:fill="FFFFFF"/>
          <w:lang w:val="en-US" w:eastAsia="zh-CN" w:bidi="ar"/>
        </w:rPr>
        <w:t>验收工作</w:t>
      </w:r>
      <w:r>
        <w:rPr>
          <w:rFonts w:hint="eastAsia" w:ascii="宋体" w:hAnsi="宋体" w:eastAsia="仿宋_GB2312" w:cs="仿宋_GB2312"/>
          <w:i w:val="0"/>
          <w:iCs w:val="0"/>
          <w:caps w:val="0"/>
          <w:snapToGrid w:val="0"/>
          <w:color w:val="333333"/>
          <w:spacing w:val="6"/>
          <w:kern w:val="0"/>
          <w:sz w:val="28"/>
          <w:szCs w:val="28"/>
          <w:shd w:val="clear" w:fill="FFFFFF"/>
          <w:lang w:val="en-US" w:eastAsia="zh-CN" w:bidi="ar"/>
        </w:rPr>
        <w:t>。</w:t>
      </w:r>
      <w:bookmarkStart w:id="181" w:name="_bookmark21"/>
      <w:bookmarkEnd w:id="181"/>
      <w:bookmarkStart w:id="182" w:name="_bookmark20"/>
      <w:bookmarkEnd w:id="182"/>
      <w:bookmarkStart w:id="183" w:name="_bookmark18"/>
      <w:bookmarkEnd w:id="183"/>
      <w:bookmarkStart w:id="184" w:name="_Toc27499"/>
      <w:bookmarkStart w:id="185" w:name="_Toc32610"/>
    </w:p>
    <w:p w14:paraId="7A7BB66C">
      <w:pPr>
        <w:keepNext w:val="0"/>
        <w:keepLines w:val="0"/>
        <w:pageBreakBefore w:val="0"/>
        <w:widowControl/>
        <w:numPr>
          <w:ilvl w:val="0"/>
          <w:numId w:val="3"/>
        </w:numPr>
        <w:kinsoku/>
        <w:wordWrap/>
        <w:overflowPunct/>
        <w:topLinePunct w:val="0"/>
        <w:autoSpaceDE w:val="0"/>
        <w:autoSpaceDN w:val="0"/>
        <w:bidi w:val="0"/>
        <w:adjustRightInd w:val="0"/>
        <w:snapToGrid w:val="0"/>
        <w:ind w:left="0" w:leftChars="0" w:firstLine="562" w:firstLineChars="200"/>
        <w:jc w:val="both"/>
        <w:textAlignment w:val="baseline"/>
        <w:rPr>
          <w:rFonts w:hint="eastAsia" w:ascii="宋体" w:hAnsi="宋体"/>
          <w:b/>
          <w:bCs/>
          <w:sz w:val="28"/>
          <w:szCs w:val="28"/>
        </w:rPr>
      </w:pPr>
      <w:r>
        <w:rPr>
          <w:rFonts w:hint="eastAsia" w:ascii="宋体" w:hAnsi="宋体"/>
          <w:b/>
          <w:bCs/>
          <w:sz w:val="28"/>
          <w:szCs w:val="28"/>
        </w:rPr>
        <w:t>有关建议</w:t>
      </w:r>
      <w:bookmarkEnd w:id="184"/>
      <w:bookmarkEnd w:id="185"/>
      <w:bookmarkStart w:id="186" w:name="_Toc13341"/>
      <w:bookmarkStart w:id="187" w:name="_Toc15955"/>
    </w:p>
    <w:bookmarkEnd w:id="186"/>
    <w:p w14:paraId="76815719">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firstLine="562" w:firstLineChars="200"/>
        <w:jc w:val="both"/>
        <w:textAlignment w:val="baseline"/>
        <w:rPr>
          <w:rFonts w:hint="eastAsia" w:ascii="宋体" w:hAnsi="宋体"/>
          <w:b/>
          <w:bCs/>
          <w:sz w:val="28"/>
          <w:szCs w:val="28"/>
        </w:rPr>
      </w:pPr>
      <w:r>
        <w:rPr>
          <w:rFonts w:hint="eastAsia" w:ascii="宋体" w:hAnsi="宋体" w:eastAsia="仿宋_GB2312" w:cs="Arial"/>
          <w:b/>
          <w:bCs/>
          <w:snapToGrid w:val="0"/>
          <w:color w:val="000000"/>
          <w:sz w:val="28"/>
          <w:szCs w:val="28"/>
          <w:lang w:val="en-US" w:eastAsia="zh-CN" w:bidi="ar-SA"/>
        </w:rPr>
        <w:t>（一）</w:t>
      </w:r>
      <w:r>
        <w:rPr>
          <w:rFonts w:hint="eastAsia" w:ascii="宋体" w:hAnsi="宋体"/>
          <w:b/>
          <w:bCs/>
          <w:sz w:val="28"/>
          <w:szCs w:val="28"/>
        </w:rPr>
        <w:t>完善相关管理制度</w:t>
      </w:r>
      <w:bookmarkEnd w:id="187"/>
      <w:bookmarkStart w:id="188" w:name="_bookmark22"/>
      <w:bookmarkEnd w:id="188"/>
    </w:p>
    <w:p w14:paraId="109B9536">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firstLine="584" w:firstLineChars="200"/>
        <w:jc w:val="both"/>
        <w:textAlignment w:val="baseline"/>
        <w:rPr>
          <w:rFonts w:hint="eastAsia" w:ascii="宋体" w:hAnsi="宋体" w:cs="仿宋_GB2312"/>
          <w:color w:val="333333"/>
          <w:spacing w:val="6"/>
          <w:sz w:val="28"/>
          <w:szCs w:val="28"/>
          <w:shd w:val="clear" w:color="auto" w:fill="FFFFFF"/>
        </w:rPr>
      </w:pPr>
      <w:r>
        <w:rPr>
          <w:rFonts w:hint="eastAsia" w:ascii="宋体" w:hAnsi="宋体" w:cs="仿宋_GB2312"/>
          <w:color w:val="333333"/>
          <w:spacing w:val="6"/>
          <w:sz w:val="28"/>
          <w:szCs w:val="28"/>
          <w:shd w:val="clear" w:color="auto" w:fill="FFFFFF"/>
        </w:rPr>
        <w:t>建议项目实施单位完善财务管理制度、业务管理制度等相关管理制度。加强项目市场风险防控、技术风险防控、融资风险防控等，并针对相应的风险防控制定控制措施。及时查漏补缺，严格按照已经制定的相关制度执行。</w:t>
      </w:r>
    </w:p>
    <w:p w14:paraId="287729D0">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firstLine="586" w:firstLineChars="200"/>
        <w:jc w:val="both"/>
        <w:textAlignment w:val="baseline"/>
        <w:rPr>
          <w:rFonts w:hint="default" w:ascii="宋体" w:hAnsi="宋体" w:cs="仿宋_GB2312"/>
          <w:b/>
          <w:bCs/>
          <w:color w:val="333333"/>
          <w:spacing w:val="6"/>
          <w:sz w:val="28"/>
          <w:szCs w:val="28"/>
          <w:shd w:val="clear" w:color="auto" w:fill="FFFFFF"/>
          <w:lang w:val="en-US" w:eastAsia="zh-CN"/>
        </w:rPr>
      </w:pPr>
      <w:bookmarkStart w:id="189" w:name="_bookmark24"/>
      <w:bookmarkEnd w:id="189"/>
      <w:bookmarkStart w:id="190" w:name="_bookmark23"/>
      <w:bookmarkEnd w:id="190"/>
      <w:bookmarkStart w:id="191" w:name="_Toc11090"/>
      <w:r>
        <w:rPr>
          <w:rFonts w:hint="eastAsia" w:ascii="宋体" w:hAnsi="宋体" w:cs="仿宋_GB2312"/>
          <w:b/>
          <w:bCs/>
          <w:color w:val="333333"/>
          <w:spacing w:val="6"/>
          <w:sz w:val="28"/>
          <w:szCs w:val="28"/>
          <w:shd w:val="clear" w:color="auto" w:fill="FFFFFF"/>
          <w:lang w:val="en-US" w:eastAsia="zh-CN"/>
        </w:rPr>
        <w:t>（二）积极推进验收工作</w:t>
      </w:r>
    </w:p>
    <w:p w14:paraId="3A971F30">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firstLine="584" w:firstLineChars="200"/>
        <w:jc w:val="both"/>
        <w:textAlignment w:val="baseline"/>
        <w:rPr>
          <w:rFonts w:hint="default" w:ascii="宋体" w:hAnsi="宋体" w:cs="仿宋_GB2312"/>
          <w:color w:val="333333"/>
          <w:spacing w:val="6"/>
          <w:sz w:val="28"/>
          <w:szCs w:val="28"/>
          <w:shd w:val="clear" w:color="auto" w:fill="FFFFFF"/>
          <w:lang w:val="en-US" w:eastAsia="zh-CN"/>
        </w:rPr>
      </w:pPr>
      <w:r>
        <w:rPr>
          <w:rFonts w:hint="eastAsia" w:ascii="宋体" w:hAnsi="宋体" w:cs="仿宋_GB2312"/>
          <w:color w:val="333333"/>
          <w:spacing w:val="6"/>
          <w:sz w:val="28"/>
          <w:szCs w:val="28"/>
          <w:shd w:val="clear" w:color="auto" w:fill="FFFFFF"/>
          <w:lang w:val="en-US" w:eastAsia="zh-CN"/>
        </w:rPr>
        <w:t>对项目在验收过程中遇到的问</w:t>
      </w:r>
      <w:bookmarkStart w:id="194" w:name="_GoBack"/>
      <w:bookmarkEnd w:id="194"/>
      <w:r>
        <w:rPr>
          <w:rFonts w:hint="eastAsia" w:ascii="宋体" w:hAnsi="宋体" w:cs="仿宋_GB2312"/>
          <w:color w:val="333333"/>
          <w:spacing w:val="6"/>
          <w:sz w:val="28"/>
          <w:szCs w:val="28"/>
          <w:shd w:val="clear" w:color="auto" w:fill="FFFFFF"/>
          <w:lang w:val="en-US" w:eastAsia="zh-CN"/>
        </w:rPr>
        <w:t>题，积极与各部门沟通，尽快完成验收，以便尽快完成竣工财务决算与资产转固，方便资产管理。</w:t>
      </w:r>
    </w:p>
    <w:p w14:paraId="3F7673D0">
      <w:pPr>
        <w:pStyle w:val="2"/>
        <w:pageBreakBefore w:val="0"/>
        <w:wordWrap/>
        <w:overflowPunct/>
        <w:topLinePunct w:val="0"/>
        <w:bidi w:val="0"/>
        <w:spacing w:line="600" w:lineRule="exact"/>
        <w:ind w:firstLine="602"/>
        <w:textAlignment w:val="baseline"/>
        <w:rPr>
          <w:rFonts w:ascii="宋体" w:hAnsi="宋体"/>
          <w:sz w:val="28"/>
          <w:szCs w:val="28"/>
        </w:rPr>
      </w:pPr>
      <w:bookmarkStart w:id="192" w:name="_Toc12615"/>
      <w:bookmarkStart w:id="193" w:name="_Toc20356"/>
      <w:r>
        <w:rPr>
          <w:rFonts w:hint="eastAsia" w:ascii="宋体" w:hAnsi="宋体"/>
          <w:sz w:val="28"/>
          <w:szCs w:val="28"/>
        </w:rPr>
        <w:t>七、其他需要说明的问题</w:t>
      </w:r>
      <w:bookmarkEnd w:id="191"/>
      <w:bookmarkEnd w:id="192"/>
      <w:bookmarkEnd w:id="193"/>
    </w:p>
    <w:p w14:paraId="69E18C64">
      <w:pPr>
        <w:pageBreakBefore w:val="0"/>
        <w:widowControl w:val="0"/>
        <w:wordWrap/>
        <w:overflowPunct/>
        <w:topLinePunct w:val="0"/>
        <w:bidi w:val="0"/>
        <w:spacing w:line="600" w:lineRule="exact"/>
        <w:ind w:firstLine="620"/>
        <w:textAlignment w:val="baseline"/>
        <w:rPr>
          <w:rFonts w:ascii="宋体" w:hAnsi="宋体" w:cs="仿宋_GB2312"/>
          <w:spacing w:val="10"/>
          <w:sz w:val="28"/>
          <w:szCs w:val="28"/>
        </w:rPr>
      </w:pPr>
      <w:r>
        <w:rPr>
          <w:rFonts w:ascii="宋体" w:hAnsi="宋体" w:cs="仿宋_GB2312"/>
          <w:spacing w:val="10"/>
          <w:sz w:val="28"/>
          <w:szCs w:val="28"/>
        </w:rPr>
        <w:t>本报告主要依据项目单位提供的资料及现场调研做出的评价。报告主要是基于项目单位提供的决策、</w:t>
      </w:r>
      <w:r>
        <w:rPr>
          <w:rFonts w:hint="eastAsia" w:ascii="宋体" w:hAnsi="宋体" w:cs="仿宋_GB2312"/>
          <w:spacing w:val="10"/>
          <w:sz w:val="28"/>
          <w:szCs w:val="28"/>
        </w:rPr>
        <w:t>管理</w:t>
      </w:r>
      <w:r>
        <w:rPr>
          <w:rFonts w:ascii="宋体" w:hAnsi="宋体" w:cs="仿宋_GB2312"/>
          <w:spacing w:val="10"/>
          <w:sz w:val="28"/>
          <w:szCs w:val="28"/>
        </w:rPr>
        <w:t>、产出、</w:t>
      </w:r>
      <w:r>
        <w:rPr>
          <w:rFonts w:hint="eastAsia" w:ascii="宋体" w:hAnsi="宋体" w:cs="仿宋_GB2312"/>
          <w:spacing w:val="10"/>
          <w:sz w:val="28"/>
          <w:szCs w:val="28"/>
        </w:rPr>
        <w:t>效益</w:t>
      </w:r>
      <w:r>
        <w:rPr>
          <w:rFonts w:ascii="宋体" w:hAnsi="宋体" w:cs="仿宋_GB2312"/>
          <w:spacing w:val="10"/>
          <w:sz w:val="28"/>
          <w:szCs w:val="28"/>
        </w:rPr>
        <w:t>等方面的资料及合理的现场调研做出，评价组对资料的真实性进行了适当的调研与抽查。但受调研范围及现场情况所限，并不是每项指标的打分都有着充分的调研支撑，个别指标主要是依据评价组工作人员的专业判断</w:t>
      </w:r>
      <w:r>
        <w:rPr>
          <w:rFonts w:hint="eastAsia" w:ascii="宋体" w:hAnsi="宋体" w:cs="仿宋_GB2312"/>
          <w:spacing w:val="10"/>
          <w:sz w:val="28"/>
          <w:szCs w:val="28"/>
        </w:rPr>
        <w:t>。</w:t>
      </w:r>
    </w:p>
    <w:p w14:paraId="77540605">
      <w:pPr>
        <w:widowControl w:val="0"/>
        <w:ind w:firstLine="620"/>
        <w:rPr>
          <w:rFonts w:ascii="宋体" w:hAnsi="宋体" w:cs="仿宋_GB2312"/>
          <w:spacing w:val="10"/>
          <w:sz w:val="28"/>
          <w:szCs w:val="28"/>
        </w:rPr>
      </w:pPr>
    </w:p>
    <w:p w14:paraId="036B10F0">
      <w:pPr>
        <w:widowControl w:val="0"/>
        <w:ind w:firstLine="620"/>
        <w:rPr>
          <w:rFonts w:ascii="宋体" w:hAnsi="宋体"/>
          <w:sz w:val="28"/>
          <w:szCs w:val="28"/>
        </w:rPr>
      </w:pPr>
      <w:r>
        <w:rPr>
          <w:rFonts w:hint="eastAsia" w:ascii="宋体" w:hAnsi="宋体" w:cs="仿宋_GB2312"/>
          <w:spacing w:val="10"/>
          <w:sz w:val="28"/>
          <w:szCs w:val="28"/>
        </w:rPr>
        <w:t>附件1：长春市宽城区</w:t>
      </w:r>
      <w:r>
        <w:rPr>
          <w:rFonts w:hint="eastAsia" w:ascii="宋体" w:hAnsi="宋体" w:cs="仿宋_GB2312"/>
          <w:spacing w:val="10"/>
          <w:sz w:val="28"/>
          <w:szCs w:val="28"/>
          <w:lang w:val="en-US" w:eastAsia="zh-CN"/>
        </w:rPr>
        <w:t>卫生综合体</w:t>
      </w:r>
      <w:r>
        <w:rPr>
          <w:rFonts w:hint="eastAsia" w:ascii="宋体" w:hAnsi="宋体" w:cs="仿宋_GB2312"/>
          <w:spacing w:val="10"/>
          <w:sz w:val="28"/>
          <w:szCs w:val="28"/>
        </w:rPr>
        <w:t>建设项目绩效评价综合评分表</w:t>
      </w:r>
    </w:p>
    <w:p w14:paraId="3DF44969">
      <w:pPr>
        <w:ind w:left="0" w:leftChars="0" w:firstLine="0" w:firstLineChars="0"/>
        <w:rPr>
          <w:rFonts w:ascii="宋体" w:hAnsi="宋体"/>
        </w:rPr>
      </w:pPr>
    </w:p>
    <w:sectPr>
      <w:footerReference r:id="rId8" w:type="default"/>
      <w:pgSz w:w="11906" w:h="16839"/>
      <w:pgMar w:top="1440" w:right="1800" w:bottom="1440" w:left="1800" w:header="0" w:footer="1059"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B7F641F-CC11-4F7D-8206-0EA09DB0E6DB}"/>
  </w:font>
  <w:font w:name="黑体">
    <w:panose1 w:val="02010609060101010101"/>
    <w:charset w:val="86"/>
    <w:family w:val="auto"/>
    <w:pitch w:val="default"/>
    <w:sig w:usb0="800002BF" w:usb1="38CF7CFA" w:usb2="00000016" w:usb3="00000000" w:csb0="00040001" w:csb1="00000000"/>
    <w:embedRegular r:id="rId2" w:fontKey="{449ED302-AA34-4260-9A5C-69A3D16178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6A82482C-BD6F-4BFF-A1AD-ED1326CAA697}"/>
  </w:font>
  <w:font w:name="方正小标宋简体">
    <w:panose1 w:val="02010600010101010101"/>
    <w:charset w:val="86"/>
    <w:family w:val="script"/>
    <w:pitch w:val="default"/>
    <w:sig w:usb0="00000001" w:usb1="080E0000" w:usb2="00000000" w:usb3="00000000" w:csb0="00040000" w:csb1="00000000"/>
    <w:embedRegular r:id="rId4" w:fontKey="{55A44355-9D0D-47EF-91ED-FDC51C7704AD}"/>
  </w:font>
  <w:font w:name="仿宋">
    <w:panose1 w:val="02010609060101010101"/>
    <w:charset w:val="86"/>
    <w:family w:val="modern"/>
    <w:pitch w:val="default"/>
    <w:sig w:usb0="800002BF" w:usb1="38CF7CFA" w:usb2="00000016" w:usb3="00000000" w:csb0="00040001" w:csb1="00000000"/>
    <w:embedRegular r:id="rId5" w:fontKey="{80760101-048B-478A-BEB3-834887635703}"/>
  </w:font>
  <w:font w:name="楷体">
    <w:panose1 w:val="02010609060101010101"/>
    <w:charset w:val="86"/>
    <w:family w:val="auto"/>
    <w:pitch w:val="default"/>
    <w:sig w:usb0="800002BF" w:usb1="38CF7CFA" w:usb2="00000016" w:usb3="00000000" w:csb0="00040001" w:csb1="00000000"/>
    <w:embedRegular r:id="rId6" w:fontKey="{2B3356D2-1821-4254-89CF-7691DAE6C72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505D4">
    <w:pPr>
      <w:spacing w:line="194" w:lineRule="auto"/>
      <w:ind w:left="4278" w:firstLine="340"/>
      <w:rPr>
        <w:rFonts w:ascii="仿宋" w:hAnsi="仿宋" w:eastAsia="仿宋" w:cs="仿宋"/>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646D6">
    <w:pPr>
      <w:spacing w:line="194" w:lineRule="auto"/>
      <w:ind w:left="4278" w:firstLine="340"/>
      <w:rPr>
        <w:rFonts w:ascii="仿宋" w:hAnsi="仿宋" w:eastAsia="仿宋" w:cs="仿宋"/>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E2EF2">
    <w:pPr>
      <w:spacing w:line="194" w:lineRule="auto"/>
      <w:ind w:left="4278" w:firstLine="340"/>
      <w:rPr>
        <w:rFonts w:ascii="仿宋" w:hAnsi="仿宋" w:eastAsia="仿宋" w:cs="仿宋"/>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8ACD79">
                          <w:pPr>
                            <w:pStyle w:val="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98ACD79">
                    <w:pPr>
                      <w:pStyle w:val="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0DCB">
    <w:pPr>
      <w:spacing w:line="14" w:lineRule="auto"/>
      <w:ind w:firstLine="4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95EF7"/>
    <w:multiLevelType w:val="singleLevel"/>
    <w:tmpl w:val="07995EF7"/>
    <w:lvl w:ilvl="0" w:tentative="0">
      <w:start w:val="2"/>
      <w:numFmt w:val="chineseCounting"/>
      <w:suff w:val="nothing"/>
      <w:lvlText w:val="（%1）"/>
      <w:lvlJc w:val="left"/>
      <w:rPr>
        <w:rFonts w:hint="eastAsia"/>
      </w:rPr>
    </w:lvl>
  </w:abstractNum>
  <w:abstractNum w:abstractNumId="1">
    <w:nsid w:val="3283D14A"/>
    <w:multiLevelType w:val="singleLevel"/>
    <w:tmpl w:val="3283D14A"/>
    <w:lvl w:ilvl="0" w:tentative="0">
      <w:start w:val="3"/>
      <w:numFmt w:val="decimal"/>
      <w:suff w:val="nothing"/>
      <w:lvlText w:val="%1."/>
      <w:lvlJc w:val="left"/>
    </w:lvl>
  </w:abstractNum>
  <w:abstractNum w:abstractNumId="2">
    <w:nsid w:val="38D6DDC6"/>
    <w:multiLevelType w:val="singleLevel"/>
    <w:tmpl w:val="38D6DDC6"/>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kMmNiNzQxMDQ2ZTdiNTUyMTcwMTJlZDQ4NTg2ZWYifQ=="/>
  </w:docVars>
  <w:rsids>
    <w:rsidRoot w:val="00DE2897"/>
    <w:rsid w:val="00073222"/>
    <w:rsid w:val="00176365"/>
    <w:rsid w:val="003610E8"/>
    <w:rsid w:val="00367605"/>
    <w:rsid w:val="003D7604"/>
    <w:rsid w:val="005E658F"/>
    <w:rsid w:val="007552B0"/>
    <w:rsid w:val="00987F32"/>
    <w:rsid w:val="00D51307"/>
    <w:rsid w:val="00DE2897"/>
    <w:rsid w:val="00E941C4"/>
    <w:rsid w:val="00FB42BA"/>
    <w:rsid w:val="03F4793D"/>
    <w:rsid w:val="04B80F92"/>
    <w:rsid w:val="052D4EEB"/>
    <w:rsid w:val="07C850E1"/>
    <w:rsid w:val="093F6F9B"/>
    <w:rsid w:val="099B3B37"/>
    <w:rsid w:val="0AA90B70"/>
    <w:rsid w:val="0BE835B9"/>
    <w:rsid w:val="0CDF70FC"/>
    <w:rsid w:val="0ECC7139"/>
    <w:rsid w:val="1021389E"/>
    <w:rsid w:val="111C26AB"/>
    <w:rsid w:val="11511F61"/>
    <w:rsid w:val="11D64215"/>
    <w:rsid w:val="13FD1F2D"/>
    <w:rsid w:val="157442C6"/>
    <w:rsid w:val="15EF0E30"/>
    <w:rsid w:val="163757C5"/>
    <w:rsid w:val="165F5BA3"/>
    <w:rsid w:val="17F2787C"/>
    <w:rsid w:val="1B5B7A3D"/>
    <w:rsid w:val="1B863AF8"/>
    <w:rsid w:val="1D8D60CF"/>
    <w:rsid w:val="1F0B4ACE"/>
    <w:rsid w:val="1F7F7C9A"/>
    <w:rsid w:val="1FF40688"/>
    <w:rsid w:val="204E33A7"/>
    <w:rsid w:val="214B077B"/>
    <w:rsid w:val="22484CBB"/>
    <w:rsid w:val="24526181"/>
    <w:rsid w:val="27223D2C"/>
    <w:rsid w:val="27A41498"/>
    <w:rsid w:val="2AA100CC"/>
    <w:rsid w:val="2C1E6F2A"/>
    <w:rsid w:val="2D656721"/>
    <w:rsid w:val="2F814A7D"/>
    <w:rsid w:val="2FB27C17"/>
    <w:rsid w:val="2FBE480E"/>
    <w:rsid w:val="319A07F5"/>
    <w:rsid w:val="344F4CEC"/>
    <w:rsid w:val="358F7A2D"/>
    <w:rsid w:val="362C430A"/>
    <w:rsid w:val="369443A6"/>
    <w:rsid w:val="37AD2BD9"/>
    <w:rsid w:val="38D42F08"/>
    <w:rsid w:val="39513FFD"/>
    <w:rsid w:val="3E3C74EF"/>
    <w:rsid w:val="3FF55066"/>
    <w:rsid w:val="403E059F"/>
    <w:rsid w:val="40434101"/>
    <w:rsid w:val="40DB6007"/>
    <w:rsid w:val="42CB4E20"/>
    <w:rsid w:val="43721740"/>
    <w:rsid w:val="456652D4"/>
    <w:rsid w:val="46DE110A"/>
    <w:rsid w:val="4836687F"/>
    <w:rsid w:val="48E74C99"/>
    <w:rsid w:val="497F11CB"/>
    <w:rsid w:val="4A2A5FB0"/>
    <w:rsid w:val="4A6F69D9"/>
    <w:rsid w:val="4C804ECE"/>
    <w:rsid w:val="4C942D32"/>
    <w:rsid w:val="4D6E6136"/>
    <w:rsid w:val="4EB57B74"/>
    <w:rsid w:val="50355FCF"/>
    <w:rsid w:val="5043249A"/>
    <w:rsid w:val="51D858D4"/>
    <w:rsid w:val="53A21D9E"/>
    <w:rsid w:val="54526AAE"/>
    <w:rsid w:val="548836BE"/>
    <w:rsid w:val="5515302A"/>
    <w:rsid w:val="55371257"/>
    <w:rsid w:val="564C7BCE"/>
    <w:rsid w:val="56A02924"/>
    <w:rsid w:val="570C5CDB"/>
    <w:rsid w:val="571B119A"/>
    <w:rsid w:val="57E61CDA"/>
    <w:rsid w:val="5893622F"/>
    <w:rsid w:val="58B631CC"/>
    <w:rsid w:val="597B2CA5"/>
    <w:rsid w:val="5B744BB6"/>
    <w:rsid w:val="5C3C1109"/>
    <w:rsid w:val="5CD917BF"/>
    <w:rsid w:val="603E4A2C"/>
    <w:rsid w:val="60E318BB"/>
    <w:rsid w:val="6531664C"/>
    <w:rsid w:val="65D64438"/>
    <w:rsid w:val="66442074"/>
    <w:rsid w:val="68E02B24"/>
    <w:rsid w:val="6C305B70"/>
    <w:rsid w:val="6DEA1328"/>
    <w:rsid w:val="6F9B1AAF"/>
    <w:rsid w:val="70C04FE9"/>
    <w:rsid w:val="736C3D40"/>
    <w:rsid w:val="73D13E24"/>
    <w:rsid w:val="75693EA1"/>
    <w:rsid w:val="78EE0999"/>
    <w:rsid w:val="796C6412"/>
    <w:rsid w:val="7A0120B0"/>
    <w:rsid w:val="7ABC7048"/>
    <w:rsid w:val="7B422074"/>
    <w:rsid w:val="7DA65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360" w:lineRule="auto"/>
      <w:ind w:firstLine="723" w:firstLineChars="200"/>
      <w:textAlignment w:val="baseline"/>
    </w:pPr>
    <w:rPr>
      <w:rFonts w:ascii="Arial" w:hAnsi="Arial" w:eastAsia="仿宋_GB2312" w:cs="Arial"/>
      <w:snapToGrid w:val="0"/>
      <w:color w:val="000000"/>
      <w:sz w:val="30"/>
      <w:szCs w:val="21"/>
      <w:lang w:val="en-US" w:eastAsia="zh-CN" w:bidi="ar-SA"/>
    </w:rPr>
  </w:style>
  <w:style w:type="paragraph" w:styleId="2">
    <w:name w:val="heading 1"/>
    <w:basedOn w:val="1"/>
    <w:next w:val="1"/>
    <w:autoRedefine/>
    <w:qFormat/>
    <w:uiPriority w:val="0"/>
    <w:pPr>
      <w:keepNext/>
      <w:keepLines/>
      <w:outlineLvl w:val="0"/>
    </w:pPr>
    <w:rPr>
      <w:rFonts w:eastAsia="黑体"/>
      <w:b/>
      <w:kern w:val="44"/>
    </w:rPr>
  </w:style>
  <w:style w:type="paragraph" w:styleId="3">
    <w:name w:val="heading 2"/>
    <w:basedOn w:val="1"/>
    <w:next w:val="1"/>
    <w:unhideWhenUsed/>
    <w:qFormat/>
    <w:uiPriority w:val="0"/>
    <w:pPr>
      <w:keepNext/>
      <w:keepLines/>
      <w:outlineLvl w:val="1"/>
    </w:pPr>
    <w:rPr>
      <w:b/>
    </w:rPr>
  </w:style>
  <w:style w:type="paragraph" w:styleId="4">
    <w:name w:val="heading 3"/>
    <w:basedOn w:val="1"/>
    <w:next w:val="1"/>
    <w:autoRedefine/>
    <w:unhideWhenUsed/>
    <w:qFormat/>
    <w:uiPriority w:val="0"/>
    <w:pPr>
      <w:keepNext/>
      <w:keepLines/>
      <w:outlineLvl w:val="2"/>
    </w:pPr>
  </w:style>
  <w:style w:type="paragraph" w:styleId="5">
    <w:name w:val="heading 4"/>
    <w:basedOn w:val="1"/>
    <w:next w:val="1"/>
    <w:autoRedefine/>
    <w:unhideWhenUsed/>
    <w:qFormat/>
    <w:uiPriority w:val="0"/>
    <w:pPr>
      <w:keepNext/>
      <w:keepLines/>
      <w:outlineLvl w:val="3"/>
    </w:p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autoRedefine/>
    <w:qFormat/>
    <w:uiPriority w:val="0"/>
    <w:pPr>
      <w:ind w:left="840" w:leftChars="400"/>
    </w:pPr>
  </w:style>
  <w:style w:type="paragraph" w:styleId="7">
    <w:name w:val="Balloon Text"/>
    <w:basedOn w:val="1"/>
    <w:link w:val="20"/>
    <w:qFormat/>
    <w:uiPriority w:val="0"/>
    <w:pPr>
      <w:spacing w:line="240" w:lineRule="auto"/>
    </w:pPr>
    <w:rPr>
      <w:sz w:val="18"/>
      <w:szCs w:val="18"/>
    </w:rPr>
  </w:style>
  <w:style w:type="paragraph" w:styleId="8">
    <w:name w:val="footer"/>
    <w:basedOn w:val="1"/>
    <w:autoRedefine/>
    <w:qFormat/>
    <w:uiPriority w:val="0"/>
    <w:pPr>
      <w:tabs>
        <w:tab w:val="center" w:pos="4153"/>
        <w:tab w:val="right" w:pos="8306"/>
      </w:tabs>
    </w:pPr>
    <w:rPr>
      <w:sz w:val="18"/>
    </w:rPr>
  </w:style>
  <w:style w:type="paragraph" w:styleId="9">
    <w:name w:val="toc 1"/>
    <w:basedOn w:val="1"/>
    <w:next w:val="1"/>
    <w:qFormat/>
    <w:uiPriority w:val="0"/>
  </w:style>
  <w:style w:type="paragraph" w:styleId="10">
    <w:name w:val="toc 2"/>
    <w:basedOn w:val="1"/>
    <w:next w:val="1"/>
    <w:autoRedefine/>
    <w:qFormat/>
    <w:uiPriority w:val="0"/>
    <w:pPr>
      <w:ind w:left="420" w:leftChars="200"/>
    </w:pPr>
  </w:style>
  <w:style w:type="paragraph" w:styleId="11">
    <w:name w:val="Normal (Web)"/>
    <w:basedOn w:val="1"/>
    <w:autoRedefine/>
    <w:qFormat/>
    <w:uiPriority w:val="0"/>
    <w:pPr>
      <w:spacing w:beforeAutospacing="1" w:afterAutospacing="1"/>
    </w:pPr>
    <w:rPr>
      <w:rFonts w:cs="Times New Roman"/>
      <w:sz w:val="24"/>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4正文"/>
    <w:basedOn w:val="1"/>
    <w:qFormat/>
    <w:uiPriority w:val="0"/>
    <w:pPr>
      <w:ind w:firstLine="200"/>
    </w:pPr>
    <w:rPr>
      <w:rFonts w:ascii="Times New Roman" w:hAnsi="Times New Roman" w:cs="Times New Roman"/>
      <w:sz w:val="24"/>
      <w:szCs w:val="24"/>
    </w:rPr>
  </w:style>
  <w:style w:type="paragraph" w:customStyle="1" w:styleId="16">
    <w:name w:val="WPSOffice手动目录 1"/>
    <w:autoRedefine/>
    <w:qFormat/>
    <w:uiPriority w:val="0"/>
    <w:rPr>
      <w:rFonts w:ascii="Arial" w:hAnsi="Arial" w:eastAsia="Arial" w:cs="Arial"/>
      <w:lang w:val="en-US" w:eastAsia="zh-CN" w:bidi="ar-SA"/>
    </w:rPr>
  </w:style>
  <w:style w:type="paragraph" w:customStyle="1" w:styleId="17">
    <w:name w:val="WPSOffice手动目录 2"/>
    <w:autoRedefine/>
    <w:qFormat/>
    <w:uiPriority w:val="0"/>
    <w:pPr>
      <w:ind w:left="200" w:leftChars="200"/>
    </w:pPr>
    <w:rPr>
      <w:rFonts w:ascii="Arial" w:hAnsi="Arial" w:eastAsia="Arial" w:cs="Arial"/>
      <w:lang w:val="en-US" w:eastAsia="zh-CN" w:bidi="ar-SA"/>
    </w:rPr>
  </w:style>
  <w:style w:type="character" w:customStyle="1" w:styleId="18">
    <w:name w:val="font11"/>
    <w:basedOn w:val="13"/>
    <w:autoRedefine/>
    <w:qFormat/>
    <w:uiPriority w:val="0"/>
    <w:rPr>
      <w:rFonts w:hint="eastAsia" w:ascii="宋体" w:hAnsi="宋体" w:eastAsia="宋体" w:cs="宋体"/>
      <w:b/>
      <w:bCs/>
      <w:color w:val="000000"/>
      <w:sz w:val="18"/>
      <w:szCs w:val="18"/>
      <w:u w:val="none"/>
    </w:rPr>
  </w:style>
  <w:style w:type="character" w:customStyle="1" w:styleId="19">
    <w:name w:val="font21"/>
    <w:basedOn w:val="13"/>
    <w:autoRedefine/>
    <w:qFormat/>
    <w:uiPriority w:val="0"/>
    <w:rPr>
      <w:rFonts w:hint="eastAsia" w:ascii="宋体" w:hAnsi="宋体" w:eastAsia="宋体" w:cs="宋体"/>
      <w:color w:val="000000"/>
      <w:sz w:val="18"/>
      <w:szCs w:val="18"/>
      <w:u w:val="none"/>
    </w:rPr>
  </w:style>
  <w:style w:type="character" w:customStyle="1" w:styleId="20">
    <w:name w:val="批注框文本 Char"/>
    <w:basedOn w:val="13"/>
    <w:link w:val="7"/>
    <w:qFormat/>
    <w:uiPriority w:val="0"/>
    <w:rPr>
      <w:rFonts w:ascii="Arial" w:hAnsi="Arial" w:eastAsia="仿宋_GB2312"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9618</Words>
  <Characters>10378</Characters>
  <Lines>105</Lines>
  <Paragraphs>29</Paragraphs>
  <TotalTime>5</TotalTime>
  <ScaleCrop>false</ScaleCrop>
  <LinksUpToDate>false</LinksUpToDate>
  <CharactersWithSpaces>10437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2022-06-30T10:14:00Z</dcterms:created>
  <dc:creator>Administrator</dc:creator>
  <cp:lastModifiedBy>WPS_1594364136</cp:lastModifiedBy>
  <cp:lastPrinted>2025-05-12T01:47:00Z</cp:lastPrinted>
  <dcterms:modified xsi:type="dcterms:W3CDTF">2026-06-28T02:18:44Z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2023-05-07T10:05:40Z</vt:filetime>
  </property>
  <property fmtid="{D5CDD505-2E9C-101B-9397-08002B2CF9AE}" pid="4" name="KSOProductBuildVer">
    <vt:lpwstr>2052-12.1.0.26895</vt:lpwstr>
  </property>
  <property fmtid="{D5CDD505-2E9C-101B-9397-08002B2CF9AE}" pid="5" name="ICV">
    <vt:lpwstr>416914D7B2A14196AA1F1183DD15DA96_13</vt:lpwstr>
  </property>
  <property fmtid="{D5CDD505-2E9C-101B-9397-08002B2CF9AE}" pid="6" name="KSOTemplateDocerSaveRecord">
    <vt:lpwstr>eyJoZGlkIjoiZjU0ZGM0NmRjMTMyYWJjZDhlZWVkN2JiNTU2YjU0ZWUiLCJ1c2VySWQiOiIxMDMzNjQ3MzA0In0=</vt:lpwstr>
  </property>
</Properties>
</file>