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5091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3" w:firstLineChars="200"/>
        <w:jc w:val="center"/>
        <w:textAlignment w:val="baseline"/>
        <w:rPr>
          <w:rFonts w:hint="eastAsia" w:ascii="宋体" w:hAnsi="宋体" w:eastAsia="方正小标宋简体" w:cs="方正小标宋简体"/>
          <w:b/>
          <w:bCs/>
          <w:i w:val="0"/>
          <w:iCs w:val="0"/>
          <w:caps w:val="0"/>
          <w:color w:val="333333"/>
          <w:spacing w:val="0"/>
          <w:sz w:val="36"/>
          <w:szCs w:val="36"/>
          <w:shd w:val="clear" w:fill="FFFFFF"/>
          <w:lang w:eastAsia="zh-CN"/>
        </w:rPr>
      </w:pPr>
    </w:p>
    <w:p w14:paraId="20FAFAB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3" w:firstLineChars="200"/>
        <w:jc w:val="center"/>
        <w:textAlignment w:val="baseline"/>
        <w:rPr>
          <w:rFonts w:hint="eastAsia" w:ascii="宋体" w:hAnsi="宋体" w:eastAsia="方正小标宋简体" w:cs="方正小标宋简体"/>
          <w:b/>
          <w:bCs/>
          <w:i w:val="0"/>
          <w:iCs w:val="0"/>
          <w:caps w:val="0"/>
          <w:color w:val="333333"/>
          <w:spacing w:val="0"/>
          <w:sz w:val="36"/>
          <w:szCs w:val="36"/>
          <w:shd w:val="clear" w:fill="FFFFFF"/>
          <w:lang w:eastAsia="zh-CN"/>
        </w:rPr>
      </w:pPr>
    </w:p>
    <w:p w14:paraId="53B41A0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3" w:firstLineChars="200"/>
        <w:jc w:val="center"/>
        <w:textAlignment w:val="baseline"/>
        <w:rPr>
          <w:rFonts w:hint="eastAsia" w:ascii="宋体" w:hAnsi="宋体" w:eastAsia="方正小标宋简体" w:cs="方正小标宋简体"/>
          <w:b/>
          <w:bCs/>
          <w:i w:val="0"/>
          <w:iCs w:val="0"/>
          <w:caps w:val="0"/>
          <w:color w:val="333333"/>
          <w:spacing w:val="0"/>
          <w:sz w:val="36"/>
          <w:szCs w:val="36"/>
          <w:shd w:val="clear" w:fill="FFFFFF"/>
          <w:lang w:eastAsia="zh-CN"/>
        </w:rPr>
      </w:pPr>
    </w:p>
    <w:p w14:paraId="36E7A73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baseline"/>
        <w:outlineLvl w:val="0"/>
        <w:rPr>
          <w:rFonts w:hint="eastAsia" w:ascii="宋体" w:hAnsi="宋体" w:eastAsia="方正小标宋简体" w:cs="方正小标宋简体"/>
          <w:bCs/>
          <w:snapToGrid/>
          <w:kern w:val="2"/>
          <w:sz w:val="44"/>
          <w:szCs w:val="44"/>
          <w:lang w:val="en-US" w:eastAsia="zh-CN" w:bidi="ar-SA"/>
        </w:rPr>
      </w:pPr>
      <w:bookmarkStart w:id="0" w:name="_Toc1753"/>
      <w:r>
        <w:rPr>
          <w:rFonts w:hint="eastAsia" w:ascii="宋体" w:hAnsi="宋体" w:eastAsia="方正小标宋简体" w:cs="方正小标宋简体"/>
          <w:bCs/>
          <w:snapToGrid/>
          <w:kern w:val="2"/>
          <w:sz w:val="44"/>
          <w:szCs w:val="44"/>
          <w:lang w:val="en-US" w:eastAsia="zh-CN" w:bidi="ar-SA"/>
        </w:rPr>
        <w:t>长春市宽城区医院异地建设项目</w:t>
      </w:r>
      <w:bookmarkEnd w:id="0"/>
    </w:p>
    <w:p w14:paraId="32CE4FE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baseline"/>
        <w:outlineLvl w:val="0"/>
        <w:rPr>
          <w:rFonts w:hint="eastAsia" w:ascii="宋体" w:hAnsi="宋体" w:eastAsia="方正小标宋简体" w:cs="方正小标宋简体"/>
          <w:bCs/>
          <w:snapToGrid/>
          <w:kern w:val="2"/>
          <w:sz w:val="44"/>
          <w:szCs w:val="44"/>
          <w:lang w:val="en-US" w:eastAsia="zh-CN" w:bidi="ar-SA"/>
        </w:rPr>
      </w:pPr>
      <w:bookmarkStart w:id="1" w:name="_Toc5720"/>
      <w:r>
        <w:rPr>
          <w:rFonts w:hint="eastAsia" w:ascii="宋体" w:hAnsi="宋体" w:eastAsia="方正小标宋简体" w:cs="方正小标宋简体"/>
          <w:bCs/>
          <w:snapToGrid/>
          <w:kern w:val="2"/>
          <w:sz w:val="44"/>
          <w:szCs w:val="44"/>
          <w:lang w:val="en-US" w:eastAsia="zh-CN" w:bidi="ar-SA"/>
        </w:rPr>
        <w:t>2025年度绩效评价报告</w:t>
      </w:r>
      <w:bookmarkEnd w:id="1"/>
    </w:p>
    <w:p w14:paraId="3040D4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snapToGrid/>
          <w:kern w:val="2"/>
          <w:sz w:val="30"/>
          <w:szCs w:val="30"/>
          <w:highlight w:val="none"/>
          <w:lang w:val="en-US" w:eastAsia="zh-CN" w:bidi="ar-SA"/>
        </w:rPr>
      </w:pPr>
    </w:p>
    <w:p w14:paraId="7D0B8C85">
      <w:pPr>
        <w:pStyle w:val="11"/>
        <w:widowControl w:val="0"/>
        <w:kinsoku/>
        <w:autoSpaceDE/>
        <w:autoSpaceDN/>
        <w:adjustRightInd/>
        <w:snapToGrid/>
        <w:spacing w:before="10" w:beforeAutospacing="0" w:afterLines="150" w:afterAutospacing="0"/>
        <w:ind w:firstLine="1920" w:firstLineChars="600"/>
        <w:jc w:val="both"/>
        <w:rPr>
          <w:rFonts w:hint="eastAsia" w:ascii="仿宋_GB2312" w:hAnsi="仿宋_GB2312" w:eastAsia="仿宋_GB2312" w:cs="仿宋_GB2312"/>
          <w:b w:val="0"/>
          <w:bCs w:val="0"/>
          <w:snapToGrid/>
          <w:kern w:val="2"/>
          <w:sz w:val="30"/>
          <w:szCs w:val="30"/>
          <w:highlight w:val="none"/>
          <w:lang w:val="en-US" w:eastAsia="zh-CN"/>
        </w:rPr>
      </w:pPr>
      <w:r>
        <w:rPr>
          <w:rFonts w:hint="eastAsia" w:ascii="黑体" w:hAnsi="黑体" w:eastAsia="黑体" w:cs="黑体"/>
          <w:bCs/>
          <w:snapToGrid/>
          <w:kern w:val="2"/>
          <w:sz w:val="32"/>
          <w:szCs w:val="32"/>
          <w:lang w:val="en-US" w:eastAsia="zh-CN"/>
        </w:rPr>
        <w:t>长华伟审专字〔2026〕第037号</w:t>
      </w:r>
    </w:p>
    <w:p w14:paraId="02AB0423">
      <w:pPr>
        <w:keepNext w:val="0"/>
        <w:keepLines w:val="0"/>
        <w:pageBreakBefore w:val="0"/>
        <w:widowControl w:val="0"/>
        <w:wordWrap/>
        <w:overflowPunct/>
        <w:topLinePunct w:val="0"/>
        <w:bidi w:val="0"/>
        <w:spacing w:line="360" w:lineRule="auto"/>
        <w:ind w:firstLine="420" w:firstLineChars="200"/>
        <w:textAlignment w:val="baseline"/>
        <w:rPr>
          <w:rFonts w:hint="eastAsia" w:ascii="宋体" w:hAnsi="宋体" w:eastAsia="宋体"/>
          <w:sz w:val="21"/>
          <w:lang w:eastAsia="zh-CN"/>
        </w:rPr>
      </w:pPr>
    </w:p>
    <w:p w14:paraId="01B5C974">
      <w:pPr>
        <w:keepNext w:val="0"/>
        <w:keepLines w:val="0"/>
        <w:pageBreakBefore w:val="0"/>
        <w:widowControl w:val="0"/>
        <w:wordWrap/>
        <w:overflowPunct/>
        <w:topLinePunct w:val="0"/>
        <w:bidi w:val="0"/>
        <w:spacing w:line="360" w:lineRule="auto"/>
        <w:ind w:firstLine="420" w:firstLineChars="200"/>
        <w:textAlignment w:val="baseline"/>
        <w:rPr>
          <w:rFonts w:hint="eastAsia" w:ascii="宋体" w:hAnsi="宋体" w:eastAsia="宋体"/>
          <w:sz w:val="21"/>
          <w:lang w:eastAsia="zh-CN"/>
        </w:rPr>
      </w:pPr>
    </w:p>
    <w:p w14:paraId="21001727">
      <w:pPr>
        <w:keepNext w:val="0"/>
        <w:keepLines w:val="0"/>
        <w:pageBreakBefore w:val="0"/>
        <w:widowControl w:val="0"/>
        <w:wordWrap/>
        <w:overflowPunct/>
        <w:topLinePunct w:val="0"/>
        <w:bidi w:val="0"/>
        <w:spacing w:line="360" w:lineRule="auto"/>
        <w:ind w:firstLine="420" w:firstLineChars="200"/>
        <w:textAlignment w:val="baseline"/>
        <w:rPr>
          <w:rFonts w:hint="eastAsia" w:ascii="宋体" w:hAnsi="宋体" w:eastAsia="宋体"/>
          <w:sz w:val="21"/>
          <w:lang w:eastAsia="zh-CN"/>
        </w:rPr>
      </w:pPr>
    </w:p>
    <w:p w14:paraId="44AB0EB2">
      <w:pPr>
        <w:keepNext w:val="0"/>
        <w:keepLines w:val="0"/>
        <w:pageBreakBefore w:val="0"/>
        <w:widowControl w:val="0"/>
        <w:wordWrap/>
        <w:overflowPunct/>
        <w:topLinePunct w:val="0"/>
        <w:bidi w:val="0"/>
        <w:spacing w:line="360" w:lineRule="auto"/>
        <w:ind w:firstLine="420" w:firstLineChars="200"/>
        <w:textAlignment w:val="baseline"/>
        <w:rPr>
          <w:rFonts w:hint="eastAsia" w:ascii="宋体" w:hAnsi="宋体" w:eastAsia="宋体"/>
          <w:sz w:val="21"/>
          <w:lang w:eastAsia="zh-CN"/>
        </w:rPr>
      </w:pPr>
    </w:p>
    <w:p w14:paraId="0345901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方正小标宋简体" w:cs="方正小标宋简体"/>
          <w:b w:val="0"/>
          <w:bCs/>
          <w:snapToGrid/>
          <w:kern w:val="2"/>
          <w:sz w:val="30"/>
          <w:szCs w:val="30"/>
          <w:lang w:val="en-US" w:eastAsia="zh-CN" w:bidi="ar-SA"/>
        </w:rPr>
      </w:pPr>
    </w:p>
    <w:p w14:paraId="240F561A">
      <w:pPr>
        <w:pStyle w:val="11"/>
        <w:widowControl w:val="0"/>
        <w:kinsoku/>
        <w:autoSpaceDE/>
        <w:autoSpaceDN/>
        <w:adjustRightInd/>
        <w:snapToGrid/>
        <w:spacing w:before="10" w:beforeAutospacing="0" w:afterLines="150" w:afterAutospacing="0"/>
        <w:ind w:firstLine="640"/>
        <w:rPr>
          <w:rFonts w:hint="eastAsia" w:ascii="黑体" w:hAnsi="黑体" w:eastAsia="黑体" w:cs="黑体"/>
          <w:bCs/>
          <w:snapToGrid/>
          <w:kern w:val="2"/>
          <w:sz w:val="32"/>
          <w:szCs w:val="32"/>
        </w:rPr>
      </w:pPr>
    </w:p>
    <w:p w14:paraId="41539DCC">
      <w:pPr>
        <w:pStyle w:val="11"/>
        <w:widowControl w:val="0"/>
        <w:kinsoku/>
        <w:autoSpaceDE/>
        <w:autoSpaceDN/>
        <w:adjustRightInd/>
        <w:snapToGrid/>
        <w:spacing w:before="10" w:beforeAutospacing="0" w:afterLines="150" w:afterAutospacing="0"/>
        <w:ind w:firstLine="640"/>
        <w:rPr>
          <w:rFonts w:ascii="黑体" w:hAnsi="黑体" w:eastAsia="黑体" w:cs="黑体"/>
          <w:bCs/>
          <w:snapToGrid/>
          <w:kern w:val="2"/>
          <w:sz w:val="32"/>
          <w:szCs w:val="32"/>
        </w:rPr>
      </w:pPr>
      <w:r>
        <w:rPr>
          <w:rFonts w:hint="eastAsia" w:ascii="黑体" w:hAnsi="黑体" w:eastAsia="黑体" w:cs="黑体"/>
          <w:bCs/>
          <w:snapToGrid/>
          <w:kern w:val="2"/>
          <w:sz w:val="32"/>
          <w:szCs w:val="32"/>
        </w:rPr>
        <w:t>委托单位：长春宽城区经济开发区管理委员会</w:t>
      </w:r>
    </w:p>
    <w:p w14:paraId="03F209BA">
      <w:pPr>
        <w:widowControl w:val="0"/>
        <w:tabs>
          <w:tab w:val="right" w:leader="dot" w:pos="8702"/>
        </w:tabs>
        <w:spacing w:before="10" w:afterLines="150"/>
        <w:ind w:left="8" w:firstLine="640"/>
        <w:rPr>
          <w:rFonts w:hint="eastAsia" w:ascii="黑体" w:hAnsi="黑体" w:eastAsia="黑体" w:cs="黑体"/>
          <w:bCs/>
          <w:snapToGrid/>
          <w:kern w:val="2"/>
          <w:sz w:val="32"/>
          <w:szCs w:val="32"/>
        </w:rPr>
      </w:pPr>
      <w:r>
        <w:rPr>
          <w:rFonts w:hint="eastAsia" w:ascii="黑体" w:hAnsi="黑体" w:eastAsia="黑体" w:cs="黑体"/>
          <w:bCs/>
          <w:snapToGrid/>
          <w:kern w:val="2"/>
          <w:sz w:val="32"/>
          <w:szCs w:val="32"/>
        </w:rPr>
        <w:t>评价机构：长春</w:t>
      </w:r>
      <w:r>
        <w:rPr>
          <w:rFonts w:hint="eastAsia" w:ascii="黑体" w:hAnsi="黑体" w:eastAsia="黑体" w:cs="黑体"/>
          <w:bCs/>
          <w:snapToGrid/>
          <w:kern w:val="2"/>
          <w:sz w:val="32"/>
          <w:szCs w:val="32"/>
          <w:lang w:val="en-US" w:eastAsia="zh-CN"/>
        </w:rPr>
        <w:t>市华伟</w:t>
      </w:r>
      <w:r>
        <w:rPr>
          <w:rFonts w:hint="eastAsia" w:ascii="黑体" w:hAnsi="黑体" w:eastAsia="黑体" w:cs="黑体"/>
          <w:bCs/>
          <w:snapToGrid/>
          <w:kern w:val="2"/>
          <w:sz w:val="32"/>
          <w:szCs w:val="32"/>
        </w:rPr>
        <w:t>会计师事务所（普通合伙）</w:t>
      </w:r>
    </w:p>
    <w:p w14:paraId="3D248D40">
      <w:pPr>
        <w:widowControl w:val="0"/>
        <w:tabs>
          <w:tab w:val="right" w:leader="dot" w:pos="8702"/>
        </w:tabs>
        <w:spacing w:before="10" w:afterLines="150"/>
        <w:ind w:left="8" w:firstLine="640"/>
        <w:rPr>
          <w:rFonts w:hint="default" w:ascii="黑体" w:hAnsi="黑体" w:eastAsia="黑体" w:cs="黑体"/>
          <w:bCs/>
          <w:snapToGrid/>
          <w:kern w:val="2"/>
          <w:sz w:val="32"/>
          <w:szCs w:val="32"/>
          <w:lang w:val="en-US" w:eastAsia="zh-CN"/>
        </w:rPr>
      </w:pPr>
      <w:r>
        <w:rPr>
          <w:rFonts w:hint="eastAsia" w:ascii="黑体" w:hAnsi="黑体" w:eastAsia="黑体" w:cs="黑体"/>
          <w:bCs/>
          <w:snapToGrid/>
          <w:kern w:val="2"/>
          <w:sz w:val="32"/>
          <w:szCs w:val="32"/>
          <w:lang w:val="en-US" w:eastAsia="zh-CN"/>
        </w:rPr>
        <w:t>评价时间：2026年6月29日</w:t>
      </w:r>
    </w:p>
    <w:p w14:paraId="5FBDDB39">
      <w:pPr>
        <w:keepNext w:val="0"/>
        <w:keepLines w:val="0"/>
        <w:pageBreakBefore w:val="0"/>
        <w:widowControl w:val="0"/>
        <w:tabs>
          <w:tab w:val="right" w:leader="dot" w:pos="8702"/>
        </w:tabs>
        <w:wordWrap/>
        <w:overflowPunct/>
        <w:topLinePunct w:val="0"/>
        <w:bidi w:val="0"/>
        <w:spacing w:before="10" w:after="0" w:afterLines="150" w:line="360" w:lineRule="auto"/>
        <w:textAlignment w:val="baseline"/>
        <w:rPr>
          <w:rFonts w:hint="eastAsia" w:ascii="黑体" w:hAnsi="黑体" w:eastAsia="黑体" w:cs="黑体"/>
          <w:b w:val="0"/>
          <w:bCs/>
          <w:snapToGrid/>
          <w:kern w:val="2"/>
          <w:sz w:val="32"/>
          <w:szCs w:val="32"/>
          <w:lang w:val="en-US" w:eastAsia="zh-CN" w:bidi="ar-SA"/>
        </w:rPr>
      </w:pPr>
    </w:p>
    <w:p w14:paraId="33303590">
      <w:pPr>
        <w:keepNext w:val="0"/>
        <w:keepLines w:val="0"/>
        <w:pageBreakBefore w:val="0"/>
        <w:widowControl w:val="0"/>
        <w:tabs>
          <w:tab w:val="right" w:leader="dot" w:pos="8702"/>
        </w:tabs>
        <w:wordWrap/>
        <w:overflowPunct/>
        <w:topLinePunct w:val="0"/>
        <w:bidi w:val="0"/>
        <w:spacing w:before="101" w:line="360" w:lineRule="auto"/>
        <w:ind w:left="8" w:firstLine="600" w:firstLineChars="200"/>
        <w:textAlignment w:val="baseline"/>
        <w:rPr>
          <w:rFonts w:hint="eastAsia" w:ascii="宋体" w:hAnsi="宋体" w:eastAsia="方正小标宋简体" w:cs="方正小标宋简体"/>
          <w:b w:val="0"/>
          <w:bCs/>
          <w:snapToGrid/>
          <w:kern w:val="2"/>
          <w:sz w:val="30"/>
          <w:szCs w:val="30"/>
          <w:lang w:val="en-US" w:eastAsia="zh-CN" w:bidi="ar-SA"/>
        </w:rPr>
      </w:pPr>
    </w:p>
    <w:p w14:paraId="2571389A">
      <w:pPr>
        <w:pageBreakBefore w:val="0"/>
        <w:widowControl w:val="0"/>
        <w:wordWrap/>
        <w:overflowPunct/>
        <w:topLinePunct w:val="0"/>
        <w:bidi w:val="0"/>
        <w:ind w:left="0" w:leftChars="0" w:firstLine="0" w:firstLineChars="0"/>
        <w:textAlignment w:val="baseline"/>
        <w:rPr>
          <w:rFonts w:hint="eastAsia" w:ascii="宋体" w:hAnsi="宋体" w:eastAsia="方正小标宋简体" w:cs="方正小标宋简体"/>
          <w:spacing w:val="-4"/>
          <w:sz w:val="36"/>
          <w:szCs w:val="36"/>
          <w:lang w:val="en-US" w:eastAsia="zh-CN"/>
          <w14:textOutline w14:w="7972" w14:cap="sq" w14:cmpd="sng">
            <w14:solidFill>
              <w14:srgbClr w14:val="000000"/>
            </w14:solidFill>
            <w14:prstDash w14:val="solid"/>
            <w14:bevel/>
          </w14:textOutline>
        </w:rPr>
      </w:pPr>
    </w:p>
    <w:sdt>
      <w:sdtPr>
        <w:rPr>
          <w:rFonts w:ascii="宋体" w:hAnsi="宋体" w:eastAsia="宋体" w:cs="Arial"/>
          <w:snapToGrid w:val="0"/>
          <w:color w:val="000000"/>
          <w:kern w:val="0"/>
          <w:sz w:val="21"/>
          <w:szCs w:val="21"/>
        </w:rPr>
        <w:id w:val="147465836"/>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14:paraId="1C4F9C1E">
          <w:pPr>
            <w:keepNext w:val="0"/>
            <w:keepLines w:val="0"/>
            <w:pageBreakBefore w:val="0"/>
            <w:widowControl/>
            <w:kinsoku w:val="0"/>
            <w:wordWrap/>
            <w:overflowPunct/>
            <w:topLinePunct w:val="0"/>
            <w:autoSpaceDE w:val="0"/>
            <w:autoSpaceDN w:val="0"/>
            <w:bidi w:val="0"/>
            <w:adjustRightInd w:val="0"/>
            <w:snapToGrid w:val="0"/>
            <w:spacing w:before="0" w:beforeLines="150" w:after="0" w:afterLines="150" w:line="240" w:lineRule="auto"/>
            <w:ind w:left="0" w:leftChars="0" w:right="0" w:rightChars="0" w:firstLine="0" w:firstLineChars="0"/>
            <w:jc w:val="center"/>
            <w:textAlignment w:val="baseline"/>
            <w:rPr>
              <w:rFonts w:ascii="宋体" w:hAnsi="宋体"/>
            </w:rPr>
          </w:pPr>
          <w:r>
            <w:rPr>
              <w:rFonts w:hint="eastAsia" w:ascii="宋体" w:hAnsi="宋体" w:eastAsia="方正小标宋简体" w:cs="方正小标宋简体"/>
              <w:sz w:val="36"/>
              <w:szCs w:val="36"/>
            </w:rPr>
            <w:t>目录</w:t>
          </w:r>
        </w:p>
        <w:p w14:paraId="274BD439">
          <w:pPr>
            <w:pStyle w:val="9"/>
            <w:tabs>
              <w:tab w:val="right" w:leader="dot" w:pos="8306"/>
            </w:tabs>
            <w:rPr>
              <w:sz w:val="28"/>
              <w:szCs w:val="28"/>
            </w:rPr>
          </w:pPr>
          <w:r>
            <w:rPr>
              <w:rFonts w:ascii="宋体" w:hAnsi="宋体"/>
              <w:sz w:val="28"/>
              <w:szCs w:val="28"/>
            </w:rPr>
            <w:fldChar w:fldCharType="begin"/>
          </w:r>
          <w:r>
            <w:rPr>
              <w:rFonts w:ascii="宋体" w:hAnsi="宋体"/>
              <w:sz w:val="28"/>
              <w:szCs w:val="28"/>
            </w:rPr>
            <w:instrText xml:space="preserve">TOC \o "1-3" \h \u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HYPERLINK \l _Toc13332 </w:instrText>
          </w:r>
          <w:r>
            <w:rPr>
              <w:rFonts w:ascii="宋体" w:hAnsi="宋体"/>
              <w:sz w:val="28"/>
              <w:szCs w:val="28"/>
            </w:rPr>
            <w:fldChar w:fldCharType="separate"/>
          </w:r>
          <w:r>
            <w:rPr>
              <w:rFonts w:hint="eastAsia" w:ascii="宋体" w:hAnsi="宋体"/>
              <w:sz w:val="28"/>
              <w:szCs w:val="28"/>
              <w:lang w:val="en-US" w:eastAsia="zh-CN"/>
            </w:rPr>
            <w:t>一、项目概况</w:t>
          </w:r>
          <w:r>
            <w:rPr>
              <w:sz w:val="28"/>
              <w:szCs w:val="28"/>
            </w:rPr>
            <w:tab/>
          </w:r>
          <w:r>
            <w:rPr>
              <w:sz w:val="28"/>
              <w:szCs w:val="28"/>
            </w:rPr>
            <w:fldChar w:fldCharType="begin"/>
          </w:r>
          <w:r>
            <w:rPr>
              <w:sz w:val="28"/>
              <w:szCs w:val="28"/>
            </w:rPr>
            <w:instrText xml:space="preserve"> PAGEREF _Toc13332 \h </w:instrText>
          </w:r>
          <w:r>
            <w:rPr>
              <w:sz w:val="28"/>
              <w:szCs w:val="28"/>
            </w:rPr>
            <w:fldChar w:fldCharType="separate"/>
          </w:r>
          <w:r>
            <w:rPr>
              <w:sz w:val="28"/>
              <w:szCs w:val="28"/>
            </w:rPr>
            <w:t>1</w:t>
          </w:r>
          <w:r>
            <w:rPr>
              <w:sz w:val="28"/>
              <w:szCs w:val="28"/>
            </w:rPr>
            <w:fldChar w:fldCharType="end"/>
          </w:r>
          <w:r>
            <w:rPr>
              <w:rFonts w:ascii="宋体" w:hAnsi="宋体"/>
              <w:sz w:val="28"/>
              <w:szCs w:val="28"/>
            </w:rPr>
            <w:fldChar w:fldCharType="end"/>
          </w:r>
        </w:p>
        <w:p w14:paraId="245EE905">
          <w:pPr>
            <w:pStyle w:val="10"/>
            <w:tabs>
              <w:tab w:val="right" w:leader="dot" w:pos="8306"/>
            </w:tabs>
            <w:rPr>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HYPERLINK \l _Toc32104 </w:instrText>
          </w:r>
          <w:r>
            <w:rPr>
              <w:rFonts w:ascii="宋体" w:hAnsi="宋体"/>
              <w:sz w:val="28"/>
              <w:szCs w:val="28"/>
              <w:highlight w:val="none"/>
            </w:rPr>
            <w:fldChar w:fldCharType="separate"/>
          </w:r>
          <w:r>
            <w:rPr>
              <w:rFonts w:hint="eastAsia" w:ascii="宋体" w:hAnsi="宋体"/>
              <w:sz w:val="28"/>
              <w:szCs w:val="28"/>
              <w:highlight w:val="none"/>
              <w:lang w:val="en-US" w:eastAsia="zh-CN"/>
            </w:rPr>
            <w:t>（一）项目立项的背景和目标</w:t>
          </w:r>
          <w:r>
            <w:rPr>
              <w:sz w:val="28"/>
              <w:szCs w:val="28"/>
              <w:highlight w:val="none"/>
            </w:rPr>
            <w:tab/>
          </w:r>
          <w:r>
            <w:rPr>
              <w:sz w:val="28"/>
              <w:szCs w:val="28"/>
              <w:highlight w:val="none"/>
            </w:rPr>
            <w:fldChar w:fldCharType="begin"/>
          </w:r>
          <w:r>
            <w:rPr>
              <w:sz w:val="28"/>
              <w:szCs w:val="28"/>
              <w:highlight w:val="none"/>
            </w:rPr>
            <w:instrText xml:space="preserve"> PAGEREF _Toc32104 \h </w:instrText>
          </w:r>
          <w:r>
            <w:rPr>
              <w:sz w:val="28"/>
              <w:szCs w:val="28"/>
              <w:highlight w:val="none"/>
            </w:rPr>
            <w:fldChar w:fldCharType="separate"/>
          </w:r>
          <w:r>
            <w:rPr>
              <w:sz w:val="28"/>
              <w:szCs w:val="28"/>
              <w:highlight w:val="none"/>
            </w:rPr>
            <w:t>1</w:t>
          </w:r>
          <w:r>
            <w:rPr>
              <w:sz w:val="28"/>
              <w:szCs w:val="28"/>
              <w:highlight w:val="none"/>
            </w:rPr>
            <w:fldChar w:fldCharType="end"/>
          </w:r>
          <w:r>
            <w:rPr>
              <w:rFonts w:ascii="宋体" w:hAnsi="宋体"/>
              <w:sz w:val="28"/>
              <w:szCs w:val="28"/>
              <w:highlight w:val="none"/>
            </w:rPr>
            <w:fldChar w:fldCharType="end"/>
          </w:r>
        </w:p>
        <w:p w14:paraId="46334D90">
          <w:pPr>
            <w:pStyle w:val="10"/>
            <w:tabs>
              <w:tab w:val="right" w:leader="dot" w:pos="8306"/>
            </w:tabs>
            <w:rPr>
              <w:rFonts w:ascii="宋体" w:hAnsi="宋体"/>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HYPERLINK \l _Toc9027 </w:instrText>
          </w:r>
          <w:r>
            <w:rPr>
              <w:rFonts w:ascii="宋体" w:hAnsi="宋体"/>
              <w:sz w:val="28"/>
              <w:szCs w:val="28"/>
              <w:highlight w:val="none"/>
            </w:rPr>
            <w:fldChar w:fldCharType="separate"/>
          </w:r>
          <w:r>
            <w:rPr>
              <w:rFonts w:hint="eastAsia" w:ascii="宋体" w:hAnsi="宋体"/>
              <w:sz w:val="28"/>
              <w:szCs w:val="28"/>
              <w:highlight w:val="none"/>
              <w:lang w:eastAsia="zh-CN"/>
            </w:rPr>
            <w:t>（</w:t>
          </w:r>
          <w:r>
            <w:rPr>
              <w:rFonts w:hint="eastAsia" w:ascii="宋体" w:hAnsi="宋体"/>
              <w:sz w:val="28"/>
              <w:szCs w:val="28"/>
              <w:highlight w:val="none"/>
              <w:lang w:val="en-US" w:eastAsia="zh-CN"/>
            </w:rPr>
            <w:t>二</w:t>
          </w:r>
          <w:r>
            <w:rPr>
              <w:rFonts w:hint="eastAsia" w:ascii="宋体" w:hAnsi="宋体"/>
              <w:sz w:val="28"/>
              <w:szCs w:val="28"/>
              <w:highlight w:val="none"/>
              <w:lang w:eastAsia="zh-CN"/>
            </w:rPr>
            <w:t>）</w:t>
          </w:r>
          <w:r>
            <w:rPr>
              <w:rFonts w:hint="eastAsia" w:ascii="宋体" w:hAnsi="宋体"/>
              <w:sz w:val="28"/>
              <w:szCs w:val="28"/>
              <w:highlight w:val="none"/>
            </w:rPr>
            <w:t>项目绩效目标</w:t>
          </w:r>
          <w:r>
            <w:rPr>
              <w:sz w:val="28"/>
              <w:szCs w:val="28"/>
              <w:highlight w:val="none"/>
            </w:rPr>
            <w:tab/>
          </w:r>
          <w:r>
            <w:rPr>
              <w:rFonts w:hint="eastAsia"/>
              <w:sz w:val="28"/>
              <w:szCs w:val="28"/>
              <w:highlight w:val="none"/>
              <w:lang w:val="en-US" w:eastAsia="zh-CN"/>
            </w:rPr>
            <w:t>4</w:t>
          </w:r>
          <w:r>
            <w:rPr>
              <w:rFonts w:ascii="宋体" w:hAnsi="宋体"/>
              <w:sz w:val="28"/>
              <w:szCs w:val="28"/>
              <w:highlight w:val="none"/>
            </w:rPr>
            <w:fldChar w:fldCharType="end"/>
          </w:r>
        </w:p>
        <w:p w14:paraId="74A2C93F">
          <w:pPr>
            <w:pStyle w:val="9"/>
            <w:tabs>
              <w:tab w:val="right" w:leader="dot" w:pos="8306"/>
            </w:tabs>
            <w:rPr>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HYPERLINK \l _Toc12225 </w:instrText>
          </w:r>
          <w:r>
            <w:rPr>
              <w:rFonts w:ascii="宋体" w:hAnsi="宋体"/>
              <w:sz w:val="28"/>
              <w:szCs w:val="28"/>
              <w:highlight w:val="none"/>
            </w:rPr>
            <w:fldChar w:fldCharType="separate"/>
          </w:r>
          <w:r>
            <w:rPr>
              <w:rFonts w:hint="eastAsia" w:ascii="宋体" w:hAnsi="宋体"/>
              <w:sz w:val="28"/>
              <w:szCs w:val="28"/>
              <w:highlight w:val="none"/>
            </w:rPr>
            <w:t>二、绩效评价工作开展情况</w:t>
          </w:r>
          <w:r>
            <w:rPr>
              <w:sz w:val="28"/>
              <w:szCs w:val="28"/>
              <w:highlight w:val="none"/>
            </w:rPr>
            <w:tab/>
          </w:r>
          <w:r>
            <w:rPr>
              <w:rFonts w:hint="eastAsia"/>
              <w:sz w:val="28"/>
              <w:szCs w:val="28"/>
              <w:highlight w:val="none"/>
              <w:lang w:val="en-US" w:eastAsia="zh-CN"/>
            </w:rPr>
            <w:t>5</w:t>
          </w:r>
          <w:r>
            <w:rPr>
              <w:rFonts w:ascii="宋体" w:hAnsi="宋体"/>
              <w:sz w:val="28"/>
              <w:szCs w:val="28"/>
              <w:highlight w:val="none"/>
            </w:rPr>
            <w:fldChar w:fldCharType="end"/>
          </w:r>
        </w:p>
        <w:p w14:paraId="20020426">
          <w:pPr>
            <w:pStyle w:val="10"/>
            <w:tabs>
              <w:tab w:val="right" w:leader="dot" w:pos="8306"/>
            </w:tabs>
            <w:rPr>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HYPERLINK \l _Toc11477 </w:instrText>
          </w:r>
          <w:r>
            <w:rPr>
              <w:rFonts w:ascii="宋体" w:hAnsi="宋体"/>
              <w:sz w:val="28"/>
              <w:szCs w:val="28"/>
              <w:highlight w:val="none"/>
            </w:rPr>
            <w:fldChar w:fldCharType="separate"/>
          </w:r>
          <w:r>
            <w:rPr>
              <w:rFonts w:hint="eastAsia" w:ascii="宋体" w:hAnsi="宋体"/>
              <w:sz w:val="28"/>
              <w:szCs w:val="28"/>
              <w:highlight w:val="none"/>
              <w:lang w:eastAsia="zh-CN"/>
            </w:rPr>
            <w:t>（</w:t>
          </w:r>
          <w:r>
            <w:rPr>
              <w:rFonts w:hint="eastAsia" w:ascii="宋体" w:hAnsi="宋体"/>
              <w:sz w:val="28"/>
              <w:szCs w:val="28"/>
              <w:highlight w:val="none"/>
              <w:lang w:val="en-US" w:eastAsia="zh-CN"/>
            </w:rPr>
            <w:t>一</w:t>
          </w:r>
          <w:r>
            <w:rPr>
              <w:rFonts w:hint="eastAsia" w:ascii="宋体" w:hAnsi="宋体"/>
              <w:sz w:val="28"/>
              <w:szCs w:val="28"/>
              <w:highlight w:val="none"/>
              <w:lang w:eastAsia="zh-CN"/>
            </w:rPr>
            <w:t>）</w:t>
          </w:r>
          <w:r>
            <w:rPr>
              <w:rFonts w:hint="eastAsia" w:ascii="宋体" w:hAnsi="宋体"/>
              <w:sz w:val="28"/>
              <w:szCs w:val="28"/>
              <w:highlight w:val="none"/>
            </w:rPr>
            <w:t>绩效评价目的、对象和范围</w:t>
          </w:r>
          <w:r>
            <w:rPr>
              <w:sz w:val="28"/>
              <w:szCs w:val="28"/>
              <w:highlight w:val="none"/>
            </w:rPr>
            <w:tab/>
          </w:r>
          <w:r>
            <w:rPr>
              <w:rFonts w:hint="eastAsia"/>
              <w:sz w:val="28"/>
              <w:szCs w:val="28"/>
              <w:highlight w:val="none"/>
              <w:lang w:val="en-US" w:eastAsia="zh-CN"/>
            </w:rPr>
            <w:t>5</w:t>
          </w:r>
          <w:r>
            <w:rPr>
              <w:rFonts w:ascii="宋体" w:hAnsi="宋体"/>
              <w:sz w:val="28"/>
              <w:szCs w:val="28"/>
              <w:highlight w:val="none"/>
            </w:rPr>
            <w:fldChar w:fldCharType="end"/>
          </w:r>
        </w:p>
        <w:p w14:paraId="18DEA469">
          <w:pPr>
            <w:pStyle w:val="10"/>
            <w:tabs>
              <w:tab w:val="right" w:leader="dot" w:pos="8306"/>
            </w:tabs>
            <w:rPr>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HYPERLINK \l _Toc19851 </w:instrText>
          </w:r>
          <w:r>
            <w:rPr>
              <w:rFonts w:ascii="宋体" w:hAnsi="宋体"/>
              <w:sz w:val="28"/>
              <w:szCs w:val="28"/>
              <w:highlight w:val="none"/>
            </w:rPr>
            <w:fldChar w:fldCharType="separate"/>
          </w:r>
          <w:r>
            <w:rPr>
              <w:rFonts w:hint="eastAsia" w:ascii="宋体" w:hAnsi="宋体"/>
              <w:sz w:val="28"/>
              <w:szCs w:val="28"/>
              <w:highlight w:val="none"/>
              <w:lang w:val="en-US" w:eastAsia="zh-CN"/>
            </w:rPr>
            <w:t>（二）绩效评价依据</w:t>
          </w:r>
          <w:r>
            <w:rPr>
              <w:sz w:val="28"/>
              <w:szCs w:val="28"/>
              <w:highlight w:val="none"/>
            </w:rPr>
            <w:tab/>
          </w:r>
          <w:r>
            <w:rPr>
              <w:rFonts w:hint="eastAsia"/>
              <w:sz w:val="28"/>
              <w:szCs w:val="28"/>
              <w:highlight w:val="none"/>
              <w:lang w:val="en-US" w:eastAsia="zh-CN"/>
            </w:rPr>
            <w:t>5</w:t>
          </w:r>
          <w:r>
            <w:rPr>
              <w:rFonts w:ascii="宋体" w:hAnsi="宋体"/>
              <w:sz w:val="28"/>
              <w:szCs w:val="28"/>
              <w:highlight w:val="none"/>
            </w:rPr>
            <w:fldChar w:fldCharType="end"/>
          </w:r>
        </w:p>
        <w:p w14:paraId="6594F8C0">
          <w:pPr>
            <w:pStyle w:val="10"/>
            <w:tabs>
              <w:tab w:val="right" w:leader="dot" w:pos="8306"/>
            </w:tabs>
            <w:rPr>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HYPERLINK \l _Toc18767 </w:instrText>
          </w:r>
          <w:r>
            <w:rPr>
              <w:rFonts w:ascii="宋体" w:hAnsi="宋体"/>
              <w:sz w:val="28"/>
              <w:szCs w:val="28"/>
              <w:highlight w:val="none"/>
            </w:rPr>
            <w:fldChar w:fldCharType="separate"/>
          </w:r>
          <w:r>
            <w:rPr>
              <w:rFonts w:hint="eastAsia" w:ascii="宋体" w:hAnsi="宋体"/>
              <w:sz w:val="28"/>
              <w:szCs w:val="28"/>
              <w:highlight w:val="none"/>
              <w:lang w:eastAsia="zh-CN"/>
            </w:rPr>
            <w:t>（</w:t>
          </w:r>
          <w:r>
            <w:rPr>
              <w:rFonts w:hint="eastAsia" w:ascii="宋体" w:hAnsi="宋体"/>
              <w:sz w:val="28"/>
              <w:szCs w:val="28"/>
              <w:highlight w:val="none"/>
              <w:lang w:val="en-US" w:eastAsia="zh-CN"/>
            </w:rPr>
            <w:t>三</w:t>
          </w:r>
          <w:r>
            <w:rPr>
              <w:rFonts w:hint="eastAsia" w:ascii="宋体" w:hAnsi="宋体"/>
              <w:sz w:val="28"/>
              <w:szCs w:val="28"/>
              <w:highlight w:val="none"/>
              <w:lang w:eastAsia="zh-CN"/>
            </w:rPr>
            <w:t>）</w:t>
          </w:r>
          <w:r>
            <w:rPr>
              <w:rFonts w:hint="eastAsia" w:ascii="宋体" w:hAnsi="宋体"/>
              <w:sz w:val="28"/>
              <w:szCs w:val="28"/>
              <w:highlight w:val="none"/>
              <w:lang w:val="en-US" w:eastAsia="zh-CN"/>
            </w:rPr>
            <w:t>绩效评价原则</w:t>
          </w:r>
          <w:r>
            <w:rPr>
              <w:sz w:val="28"/>
              <w:szCs w:val="28"/>
              <w:highlight w:val="none"/>
            </w:rPr>
            <w:tab/>
          </w:r>
          <w:r>
            <w:rPr>
              <w:rFonts w:hint="eastAsia"/>
              <w:sz w:val="28"/>
              <w:szCs w:val="28"/>
              <w:highlight w:val="none"/>
              <w:lang w:val="en-US" w:eastAsia="zh-CN"/>
            </w:rPr>
            <w:t>6</w:t>
          </w:r>
          <w:r>
            <w:rPr>
              <w:rFonts w:ascii="宋体" w:hAnsi="宋体"/>
              <w:sz w:val="28"/>
              <w:szCs w:val="28"/>
              <w:highlight w:val="none"/>
            </w:rPr>
            <w:fldChar w:fldCharType="end"/>
          </w:r>
        </w:p>
        <w:p w14:paraId="2476ABCC">
          <w:pPr>
            <w:pStyle w:val="10"/>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_Toc25848 </w:instrText>
          </w:r>
          <w:r>
            <w:rPr>
              <w:rFonts w:ascii="宋体" w:hAnsi="宋体"/>
              <w:sz w:val="28"/>
              <w:szCs w:val="28"/>
              <w:highlight w:val="none"/>
            </w:rPr>
            <w:fldChar w:fldCharType="separate"/>
          </w:r>
          <w:r>
            <w:rPr>
              <w:rFonts w:hint="eastAsia" w:ascii="宋体" w:hAnsi="宋体"/>
              <w:sz w:val="28"/>
              <w:szCs w:val="28"/>
              <w:highlight w:val="none"/>
              <w:lang w:eastAsia="zh-CN"/>
            </w:rPr>
            <w:t>（</w:t>
          </w:r>
          <w:r>
            <w:rPr>
              <w:rFonts w:hint="eastAsia" w:ascii="宋体" w:hAnsi="宋体"/>
              <w:sz w:val="28"/>
              <w:szCs w:val="28"/>
              <w:highlight w:val="none"/>
              <w:lang w:val="en-US" w:eastAsia="zh-CN"/>
            </w:rPr>
            <w:t>四</w:t>
          </w:r>
          <w:r>
            <w:rPr>
              <w:rFonts w:hint="eastAsia" w:ascii="宋体" w:hAnsi="宋体"/>
              <w:sz w:val="28"/>
              <w:szCs w:val="28"/>
              <w:highlight w:val="none"/>
              <w:lang w:eastAsia="zh-CN"/>
            </w:rPr>
            <w:t>）</w:t>
          </w:r>
          <w:r>
            <w:rPr>
              <w:rFonts w:hint="eastAsia" w:ascii="宋体" w:hAnsi="宋体"/>
              <w:sz w:val="28"/>
              <w:szCs w:val="28"/>
              <w:highlight w:val="none"/>
            </w:rPr>
            <w:t>评价指标体系、评价方法、评价标准</w:t>
          </w:r>
          <w:r>
            <w:rPr>
              <w:sz w:val="28"/>
              <w:szCs w:val="28"/>
              <w:highlight w:val="none"/>
            </w:rPr>
            <w:tab/>
          </w:r>
          <w:r>
            <w:rPr>
              <w:rFonts w:hint="eastAsia"/>
              <w:sz w:val="28"/>
              <w:szCs w:val="28"/>
              <w:highlight w:val="none"/>
              <w:lang w:val="en-US" w:eastAsia="zh-CN"/>
            </w:rPr>
            <w:t>7</w:t>
          </w:r>
          <w:r>
            <w:rPr>
              <w:rFonts w:ascii="宋体" w:hAnsi="宋体"/>
              <w:sz w:val="28"/>
              <w:szCs w:val="28"/>
              <w:highlight w:val="none"/>
            </w:rPr>
            <w:fldChar w:fldCharType="end"/>
          </w:r>
        </w:p>
        <w:p w14:paraId="5EECE75D">
          <w:pPr>
            <w:pStyle w:val="10"/>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_Toc22886 </w:instrText>
          </w:r>
          <w:r>
            <w:rPr>
              <w:rFonts w:ascii="宋体" w:hAnsi="宋体"/>
              <w:sz w:val="28"/>
              <w:szCs w:val="28"/>
              <w:highlight w:val="none"/>
            </w:rPr>
            <w:fldChar w:fldCharType="separate"/>
          </w:r>
          <w:r>
            <w:rPr>
              <w:rFonts w:hint="eastAsia" w:ascii="宋体" w:hAnsi="宋体"/>
              <w:sz w:val="28"/>
              <w:szCs w:val="28"/>
              <w:highlight w:val="none"/>
              <w:lang w:eastAsia="zh-CN"/>
            </w:rPr>
            <w:t>（</w:t>
          </w:r>
          <w:r>
            <w:rPr>
              <w:rFonts w:hint="eastAsia" w:ascii="宋体" w:hAnsi="宋体"/>
              <w:sz w:val="28"/>
              <w:szCs w:val="28"/>
              <w:highlight w:val="none"/>
              <w:lang w:val="en-US" w:eastAsia="zh-CN"/>
            </w:rPr>
            <w:t>五</w:t>
          </w:r>
          <w:r>
            <w:rPr>
              <w:rFonts w:hint="eastAsia" w:ascii="宋体" w:hAnsi="宋体"/>
              <w:sz w:val="28"/>
              <w:szCs w:val="28"/>
              <w:highlight w:val="none"/>
              <w:lang w:eastAsia="zh-CN"/>
            </w:rPr>
            <w:t>）</w:t>
          </w:r>
          <w:r>
            <w:rPr>
              <w:rFonts w:hint="eastAsia" w:ascii="宋体" w:hAnsi="宋体"/>
              <w:sz w:val="28"/>
              <w:szCs w:val="28"/>
              <w:highlight w:val="none"/>
            </w:rPr>
            <w:t>绩效评价工作过程</w:t>
          </w:r>
          <w:r>
            <w:rPr>
              <w:sz w:val="28"/>
              <w:szCs w:val="28"/>
              <w:highlight w:val="none"/>
            </w:rPr>
            <w:tab/>
          </w:r>
          <w:r>
            <w:rPr>
              <w:rFonts w:hint="eastAsia"/>
              <w:sz w:val="28"/>
              <w:szCs w:val="28"/>
              <w:highlight w:val="none"/>
              <w:lang w:val="en-US" w:eastAsia="zh-CN"/>
            </w:rPr>
            <w:t>8</w:t>
          </w:r>
          <w:r>
            <w:rPr>
              <w:rFonts w:ascii="宋体" w:hAnsi="宋体"/>
              <w:sz w:val="28"/>
              <w:szCs w:val="28"/>
              <w:highlight w:val="none"/>
            </w:rPr>
            <w:fldChar w:fldCharType="end"/>
          </w:r>
        </w:p>
        <w:p w14:paraId="6531BF08">
          <w:pPr>
            <w:pStyle w:val="9"/>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_Toc20323 </w:instrText>
          </w:r>
          <w:r>
            <w:rPr>
              <w:rFonts w:ascii="宋体" w:hAnsi="宋体"/>
              <w:sz w:val="28"/>
              <w:szCs w:val="28"/>
              <w:highlight w:val="none"/>
            </w:rPr>
            <w:fldChar w:fldCharType="separate"/>
          </w:r>
          <w:r>
            <w:rPr>
              <w:rFonts w:hint="eastAsia" w:ascii="宋体" w:hAnsi="宋体"/>
              <w:sz w:val="28"/>
              <w:szCs w:val="28"/>
              <w:highlight w:val="none"/>
            </w:rPr>
            <w:t>三、综合评价情况及评价结论</w:t>
          </w:r>
          <w:r>
            <w:rPr>
              <w:sz w:val="28"/>
              <w:szCs w:val="28"/>
              <w:highlight w:val="none"/>
            </w:rPr>
            <w:tab/>
          </w:r>
          <w:r>
            <w:rPr>
              <w:rFonts w:hint="eastAsia"/>
              <w:sz w:val="28"/>
              <w:szCs w:val="28"/>
              <w:highlight w:val="none"/>
              <w:lang w:val="en-US" w:eastAsia="zh-CN"/>
            </w:rPr>
            <w:t>9</w:t>
          </w:r>
          <w:r>
            <w:rPr>
              <w:rFonts w:ascii="宋体" w:hAnsi="宋体"/>
              <w:sz w:val="28"/>
              <w:szCs w:val="28"/>
              <w:highlight w:val="none"/>
            </w:rPr>
            <w:fldChar w:fldCharType="end"/>
          </w:r>
        </w:p>
        <w:p w14:paraId="17273E7F">
          <w:pPr>
            <w:pStyle w:val="9"/>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_Toc7377 </w:instrText>
          </w:r>
          <w:r>
            <w:rPr>
              <w:rFonts w:ascii="宋体" w:hAnsi="宋体"/>
              <w:sz w:val="28"/>
              <w:szCs w:val="28"/>
              <w:highlight w:val="none"/>
            </w:rPr>
            <w:fldChar w:fldCharType="separate"/>
          </w:r>
          <w:r>
            <w:rPr>
              <w:rFonts w:hint="eastAsia" w:ascii="宋体" w:hAnsi="宋体"/>
              <w:sz w:val="28"/>
              <w:szCs w:val="28"/>
              <w:highlight w:val="none"/>
            </w:rPr>
            <w:t>四、绩效评价指标分析</w:t>
          </w:r>
          <w:r>
            <w:rPr>
              <w:sz w:val="28"/>
              <w:szCs w:val="28"/>
              <w:highlight w:val="none"/>
            </w:rPr>
            <w:tab/>
          </w:r>
          <w:r>
            <w:rPr>
              <w:rFonts w:hint="eastAsia"/>
              <w:sz w:val="28"/>
              <w:szCs w:val="28"/>
              <w:highlight w:val="none"/>
              <w:lang w:val="en-US" w:eastAsia="zh-CN"/>
            </w:rPr>
            <w:t>1</w:t>
          </w:r>
          <w:r>
            <w:rPr>
              <w:rFonts w:ascii="宋体" w:hAnsi="宋体"/>
              <w:sz w:val="28"/>
              <w:szCs w:val="28"/>
              <w:highlight w:val="none"/>
            </w:rPr>
            <w:fldChar w:fldCharType="end"/>
          </w:r>
          <w:r>
            <w:rPr>
              <w:rFonts w:hint="eastAsia" w:ascii="宋体" w:hAnsi="宋体"/>
              <w:sz w:val="28"/>
              <w:szCs w:val="28"/>
              <w:highlight w:val="none"/>
              <w:lang w:val="en-US" w:eastAsia="zh-CN"/>
            </w:rPr>
            <w:t>0</w:t>
          </w:r>
        </w:p>
        <w:p w14:paraId="6CF64333">
          <w:pPr>
            <w:pStyle w:val="10"/>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_Toc21959 </w:instrText>
          </w:r>
          <w:r>
            <w:rPr>
              <w:rFonts w:ascii="宋体" w:hAnsi="宋体"/>
              <w:sz w:val="28"/>
              <w:szCs w:val="28"/>
              <w:highlight w:val="none"/>
            </w:rPr>
            <w:fldChar w:fldCharType="separate"/>
          </w:r>
          <w:r>
            <w:rPr>
              <w:rFonts w:hint="eastAsia" w:ascii="宋体" w:hAnsi="宋体"/>
              <w:sz w:val="28"/>
              <w:szCs w:val="28"/>
              <w:highlight w:val="none"/>
            </w:rPr>
            <w:t>（一）决策情况分析</w:t>
          </w:r>
          <w:r>
            <w:rPr>
              <w:sz w:val="28"/>
              <w:szCs w:val="28"/>
              <w:highlight w:val="none"/>
            </w:rPr>
            <w:tab/>
          </w:r>
          <w:r>
            <w:rPr>
              <w:rFonts w:hint="eastAsia"/>
              <w:sz w:val="28"/>
              <w:szCs w:val="28"/>
              <w:highlight w:val="none"/>
              <w:lang w:val="en-US" w:eastAsia="zh-CN"/>
            </w:rPr>
            <w:t>1</w:t>
          </w:r>
          <w:r>
            <w:rPr>
              <w:rFonts w:ascii="宋体" w:hAnsi="宋体"/>
              <w:sz w:val="28"/>
              <w:szCs w:val="28"/>
              <w:highlight w:val="none"/>
            </w:rPr>
            <w:fldChar w:fldCharType="end"/>
          </w:r>
          <w:r>
            <w:rPr>
              <w:rFonts w:hint="eastAsia" w:cs="Arial"/>
              <w:sz w:val="28"/>
              <w:szCs w:val="28"/>
              <w:highlight w:val="none"/>
              <w:lang w:val="en-US" w:eastAsia="zh-CN"/>
            </w:rPr>
            <w:t>0</w:t>
          </w:r>
        </w:p>
        <w:p w14:paraId="7A67D3B9">
          <w:pPr>
            <w:pStyle w:val="10"/>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_Toc30894 </w:instrText>
          </w:r>
          <w:r>
            <w:rPr>
              <w:rFonts w:ascii="宋体" w:hAnsi="宋体"/>
              <w:sz w:val="28"/>
              <w:szCs w:val="28"/>
              <w:highlight w:val="none"/>
            </w:rPr>
            <w:fldChar w:fldCharType="separate"/>
          </w:r>
          <w:r>
            <w:rPr>
              <w:rFonts w:hint="eastAsia" w:ascii="宋体" w:hAnsi="宋体"/>
              <w:sz w:val="28"/>
              <w:szCs w:val="28"/>
              <w:highlight w:val="none"/>
            </w:rPr>
            <w:t>（二）</w:t>
          </w:r>
          <w:r>
            <w:rPr>
              <w:rFonts w:hint="eastAsia" w:ascii="宋体" w:hAnsi="宋体"/>
              <w:sz w:val="28"/>
              <w:szCs w:val="28"/>
              <w:highlight w:val="none"/>
              <w:lang w:val="en-US" w:eastAsia="zh-CN"/>
            </w:rPr>
            <w:t>管理</w:t>
          </w:r>
          <w:r>
            <w:rPr>
              <w:rFonts w:hint="eastAsia" w:ascii="宋体" w:hAnsi="宋体"/>
              <w:sz w:val="28"/>
              <w:szCs w:val="28"/>
              <w:highlight w:val="none"/>
            </w:rPr>
            <w:t>情况分析</w:t>
          </w:r>
          <w:r>
            <w:rPr>
              <w:sz w:val="28"/>
              <w:szCs w:val="28"/>
              <w:highlight w:val="none"/>
            </w:rPr>
            <w:tab/>
          </w:r>
          <w:r>
            <w:rPr>
              <w:rFonts w:hint="eastAsia"/>
              <w:sz w:val="28"/>
              <w:szCs w:val="28"/>
              <w:highlight w:val="none"/>
              <w:lang w:val="en-US" w:eastAsia="zh-CN"/>
            </w:rPr>
            <w:t>1</w:t>
          </w:r>
          <w:r>
            <w:rPr>
              <w:rFonts w:ascii="宋体" w:hAnsi="宋体"/>
              <w:sz w:val="28"/>
              <w:szCs w:val="28"/>
              <w:highlight w:val="none"/>
            </w:rPr>
            <w:fldChar w:fldCharType="end"/>
          </w:r>
          <w:r>
            <w:rPr>
              <w:rFonts w:hint="eastAsia" w:cs="Arial"/>
              <w:sz w:val="28"/>
              <w:szCs w:val="28"/>
              <w:highlight w:val="none"/>
              <w:lang w:val="en-US" w:eastAsia="zh-CN"/>
            </w:rPr>
            <w:t>3</w:t>
          </w:r>
        </w:p>
        <w:p w14:paraId="2C32B326">
          <w:pPr>
            <w:pStyle w:val="10"/>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_Toc26436 </w:instrText>
          </w:r>
          <w:r>
            <w:rPr>
              <w:rFonts w:ascii="宋体" w:hAnsi="宋体"/>
              <w:sz w:val="28"/>
              <w:szCs w:val="28"/>
              <w:highlight w:val="none"/>
            </w:rPr>
            <w:fldChar w:fldCharType="separate"/>
          </w:r>
          <w:r>
            <w:rPr>
              <w:rFonts w:hint="eastAsia" w:ascii="宋体" w:hAnsi="宋体"/>
              <w:sz w:val="28"/>
              <w:szCs w:val="28"/>
              <w:highlight w:val="none"/>
            </w:rPr>
            <w:t>（三）产出情况分析</w:t>
          </w:r>
          <w:r>
            <w:rPr>
              <w:sz w:val="28"/>
              <w:szCs w:val="28"/>
              <w:highlight w:val="none"/>
            </w:rPr>
            <w:tab/>
          </w:r>
          <w:r>
            <w:rPr>
              <w:rFonts w:hint="eastAsia"/>
              <w:sz w:val="28"/>
              <w:szCs w:val="28"/>
              <w:highlight w:val="none"/>
              <w:lang w:val="en-US" w:eastAsia="zh-CN"/>
            </w:rPr>
            <w:t>1</w:t>
          </w:r>
          <w:r>
            <w:rPr>
              <w:rFonts w:ascii="宋体" w:hAnsi="宋体"/>
              <w:sz w:val="28"/>
              <w:szCs w:val="28"/>
              <w:highlight w:val="none"/>
            </w:rPr>
            <w:fldChar w:fldCharType="end"/>
          </w:r>
          <w:r>
            <w:rPr>
              <w:rFonts w:hint="eastAsia" w:cs="Arial"/>
              <w:sz w:val="28"/>
              <w:szCs w:val="28"/>
              <w:highlight w:val="none"/>
              <w:lang w:val="en-US" w:eastAsia="zh-CN"/>
            </w:rPr>
            <w:t>4</w:t>
          </w:r>
        </w:p>
        <w:p w14:paraId="1794B17F">
          <w:pPr>
            <w:pStyle w:val="10"/>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_Toc13577 </w:instrText>
          </w:r>
          <w:r>
            <w:rPr>
              <w:rFonts w:ascii="宋体" w:hAnsi="宋体"/>
              <w:sz w:val="28"/>
              <w:szCs w:val="28"/>
              <w:highlight w:val="none"/>
            </w:rPr>
            <w:fldChar w:fldCharType="separate"/>
          </w:r>
          <w:r>
            <w:rPr>
              <w:rFonts w:hint="eastAsia" w:ascii="宋体" w:hAnsi="宋体"/>
              <w:sz w:val="28"/>
              <w:szCs w:val="28"/>
              <w:highlight w:val="none"/>
            </w:rPr>
            <w:t>（四）效益情况分析</w:t>
          </w:r>
          <w:r>
            <w:rPr>
              <w:sz w:val="28"/>
              <w:szCs w:val="28"/>
              <w:highlight w:val="none"/>
            </w:rPr>
            <w:tab/>
          </w:r>
          <w:r>
            <w:rPr>
              <w:rFonts w:hint="eastAsia"/>
              <w:sz w:val="28"/>
              <w:szCs w:val="28"/>
              <w:highlight w:val="none"/>
              <w:lang w:val="en-US" w:eastAsia="zh-CN"/>
            </w:rPr>
            <w:t>1</w:t>
          </w:r>
          <w:r>
            <w:rPr>
              <w:rFonts w:ascii="宋体" w:hAnsi="宋体"/>
              <w:sz w:val="28"/>
              <w:szCs w:val="28"/>
              <w:highlight w:val="none"/>
            </w:rPr>
            <w:fldChar w:fldCharType="end"/>
          </w:r>
          <w:r>
            <w:rPr>
              <w:rFonts w:hint="eastAsia" w:cs="Arial"/>
              <w:sz w:val="28"/>
              <w:szCs w:val="28"/>
              <w:highlight w:val="none"/>
              <w:lang w:val="en-US" w:eastAsia="zh-CN"/>
            </w:rPr>
            <w:t>5</w:t>
          </w:r>
        </w:p>
        <w:p w14:paraId="046A0FFC">
          <w:pPr>
            <w:pStyle w:val="9"/>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_Toc31508 </w:instrText>
          </w:r>
          <w:r>
            <w:rPr>
              <w:rFonts w:ascii="宋体" w:hAnsi="宋体"/>
              <w:sz w:val="28"/>
              <w:szCs w:val="28"/>
              <w:highlight w:val="none"/>
            </w:rPr>
            <w:fldChar w:fldCharType="separate"/>
          </w:r>
          <w:r>
            <w:rPr>
              <w:rFonts w:hint="eastAsia" w:ascii="宋体" w:hAnsi="宋体"/>
              <w:sz w:val="28"/>
              <w:szCs w:val="28"/>
              <w:highlight w:val="none"/>
            </w:rPr>
            <w:t>五、存在的问题及原因分析</w:t>
          </w:r>
          <w:r>
            <w:rPr>
              <w:sz w:val="28"/>
              <w:szCs w:val="28"/>
              <w:highlight w:val="none"/>
            </w:rPr>
            <w:tab/>
          </w:r>
          <w:r>
            <w:rPr>
              <w:rFonts w:hint="eastAsia"/>
              <w:sz w:val="28"/>
              <w:szCs w:val="28"/>
              <w:highlight w:val="none"/>
              <w:lang w:val="en-US" w:eastAsia="zh-CN"/>
            </w:rPr>
            <w:t>1</w:t>
          </w:r>
          <w:r>
            <w:rPr>
              <w:rFonts w:ascii="宋体" w:hAnsi="宋体"/>
              <w:sz w:val="28"/>
              <w:szCs w:val="28"/>
              <w:highlight w:val="none"/>
            </w:rPr>
            <w:fldChar w:fldCharType="end"/>
          </w:r>
          <w:r>
            <w:rPr>
              <w:rFonts w:hint="eastAsia" w:cs="Arial"/>
              <w:sz w:val="28"/>
              <w:szCs w:val="28"/>
              <w:highlight w:val="none"/>
              <w:lang w:val="en-US" w:eastAsia="zh-CN"/>
            </w:rPr>
            <w:t>7</w:t>
          </w:r>
        </w:p>
        <w:p w14:paraId="62AEB60F">
          <w:pPr>
            <w:pStyle w:val="9"/>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_Toc3923 </w:instrText>
          </w:r>
          <w:r>
            <w:rPr>
              <w:rFonts w:ascii="宋体" w:hAnsi="宋体"/>
              <w:sz w:val="28"/>
              <w:szCs w:val="28"/>
              <w:highlight w:val="none"/>
            </w:rPr>
            <w:fldChar w:fldCharType="separate"/>
          </w:r>
          <w:r>
            <w:rPr>
              <w:rFonts w:hint="eastAsia" w:ascii="宋体" w:hAnsi="宋体"/>
              <w:sz w:val="28"/>
              <w:szCs w:val="28"/>
              <w:highlight w:val="none"/>
            </w:rPr>
            <w:t>六、有关建议</w:t>
          </w:r>
          <w:r>
            <w:rPr>
              <w:sz w:val="28"/>
              <w:szCs w:val="28"/>
              <w:highlight w:val="none"/>
            </w:rPr>
            <w:tab/>
          </w:r>
          <w:r>
            <w:rPr>
              <w:rFonts w:hint="eastAsia"/>
              <w:sz w:val="28"/>
              <w:szCs w:val="28"/>
              <w:highlight w:val="none"/>
              <w:lang w:val="en-US" w:eastAsia="zh-CN"/>
            </w:rPr>
            <w:t>1</w:t>
          </w:r>
          <w:r>
            <w:rPr>
              <w:rFonts w:ascii="宋体" w:hAnsi="宋体"/>
              <w:sz w:val="28"/>
              <w:szCs w:val="28"/>
              <w:highlight w:val="none"/>
            </w:rPr>
            <w:fldChar w:fldCharType="end"/>
          </w:r>
          <w:r>
            <w:rPr>
              <w:rFonts w:hint="eastAsia" w:cs="Arial"/>
              <w:sz w:val="28"/>
              <w:szCs w:val="28"/>
              <w:highlight w:val="none"/>
              <w:lang w:val="en-US" w:eastAsia="zh-CN"/>
            </w:rPr>
            <w:t>8</w:t>
          </w:r>
        </w:p>
        <w:p w14:paraId="4F560F71">
          <w:pPr>
            <w:pStyle w:val="9"/>
            <w:tabs>
              <w:tab w:val="right" w:leader="dot" w:pos="8306"/>
            </w:tabs>
            <w:rPr>
              <w:rFonts w:hint="eastAsia" w:eastAsia="仿宋_GB2312"/>
              <w:sz w:val="28"/>
              <w:szCs w:val="28"/>
              <w:highlight w:val="none"/>
              <w:lang w:val="en-US" w:eastAsia="zh-CN"/>
            </w:rPr>
          </w:pPr>
          <w:r>
            <w:rPr>
              <w:rFonts w:ascii="宋体" w:hAnsi="宋体"/>
              <w:sz w:val="28"/>
              <w:szCs w:val="28"/>
              <w:highlight w:val="none"/>
            </w:rPr>
            <w:fldChar w:fldCharType="begin"/>
          </w:r>
          <w:r>
            <w:rPr>
              <w:rFonts w:ascii="宋体" w:hAnsi="宋体"/>
              <w:sz w:val="28"/>
              <w:szCs w:val="28"/>
              <w:highlight w:val="none"/>
            </w:rPr>
            <w:instrText xml:space="preserve"> HYPERLINK \l _Toc13717 </w:instrText>
          </w:r>
          <w:r>
            <w:rPr>
              <w:rFonts w:ascii="宋体" w:hAnsi="宋体"/>
              <w:sz w:val="28"/>
              <w:szCs w:val="28"/>
              <w:highlight w:val="none"/>
            </w:rPr>
            <w:fldChar w:fldCharType="separate"/>
          </w:r>
          <w:r>
            <w:rPr>
              <w:rFonts w:hint="eastAsia" w:ascii="宋体" w:hAnsi="宋体"/>
              <w:sz w:val="28"/>
              <w:szCs w:val="28"/>
              <w:highlight w:val="none"/>
            </w:rPr>
            <w:t>七、其他需要说明的问题</w:t>
          </w:r>
          <w:r>
            <w:rPr>
              <w:sz w:val="28"/>
              <w:szCs w:val="28"/>
              <w:highlight w:val="none"/>
            </w:rPr>
            <w:tab/>
          </w:r>
          <w:r>
            <w:rPr>
              <w:rFonts w:hint="eastAsia"/>
              <w:sz w:val="28"/>
              <w:szCs w:val="28"/>
              <w:highlight w:val="none"/>
              <w:lang w:val="en-US" w:eastAsia="zh-CN"/>
            </w:rPr>
            <w:t>1</w:t>
          </w:r>
          <w:r>
            <w:rPr>
              <w:rFonts w:ascii="宋体" w:hAnsi="宋体"/>
              <w:sz w:val="28"/>
              <w:szCs w:val="28"/>
              <w:highlight w:val="none"/>
            </w:rPr>
            <w:fldChar w:fldCharType="end"/>
          </w:r>
          <w:r>
            <w:rPr>
              <w:rFonts w:hint="eastAsia" w:cs="Arial"/>
              <w:sz w:val="28"/>
              <w:szCs w:val="28"/>
              <w:highlight w:val="none"/>
              <w:lang w:val="en-US" w:eastAsia="zh-CN"/>
            </w:rPr>
            <w:t>8</w:t>
          </w:r>
          <w:bookmarkStart w:id="134" w:name="_GoBack"/>
          <w:bookmarkEnd w:id="134"/>
        </w:p>
        <w:p w14:paraId="24E0E927">
          <w:pPr>
            <w:rPr>
              <w:rFonts w:ascii="宋体" w:hAnsi="宋体"/>
            </w:rPr>
          </w:pPr>
          <w:r>
            <w:rPr>
              <w:rFonts w:ascii="宋体" w:hAnsi="宋体"/>
              <w:sz w:val="28"/>
              <w:szCs w:val="28"/>
            </w:rPr>
            <w:fldChar w:fldCharType="end"/>
          </w:r>
        </w:p>
      </w:sdtContent>
    </w:sdt>
    <w:p w14:paraId="5C3796C1">
      <w:pPr>
        <w:keepNext w:val="0"/>
        <w:keepLines w:val="0"/>
        <w:pageBreakBefore w:val="0"/>
        <w:widowControl/>
        <w:kinsoku w:val="0"/>
        <w:wordWrap/>
        <w:overflowPunct/>
        <w:topLinePunct w:val="0"/>
        <w:autoSpaceDE w:val="0"/>
        <w:autoSpaceDN w:val="0"/>
        <w:bidi w:val="0"/>
        <w:adjustRightInd w:val="0"/>
        <w:snapToGrid w:val="0"/>
        <w:spacing w:before="0" w:beforeLines="150" w:after="0" w:line="360" w:lineRule="auto"/>
        <w:jc w:val="center"/>
        <w:textAlignment w:val="baseline"/>
        <w:rPr>
          <w:rFonts w:hint="eastAsia" w:ascii="宋体" w:hAnsi="宋体" w:eastAsia="方正小标宋简体" w:cs="方正小标宋简体"/>
          <w:b/>
          <w:bCs/>
          <w:sz w:val="36"/>
          <w:szCs w:val="36"/>
        </w:rPr>
        <w:sectPr>
          <w:headerReference r:id="rId5" w:type="default"/>
          <w:footerReference r:id="rId6" w:type="default"/>
          <w:pgSz w:w="11906" w:h="16839"/>
          <w:pgMar w:top="1440" w:right="1800" w:bottom="1440" w:left="1800" w:header="0" w:footer="1059" w:gutter="0"/>
          <w:pgNumType w:fmt="decimal" w:start="1"/>
          <w:cols w:space="720" w:num="1"/>
        </w:sectPr>
      </w:pPr>
    </w:p>
    <w:p w14:paraId="18DA99ED">
      <w:pPr>
        <w:keepNext w:val="0"/>
        <w:keepLines w:val="0"/>
        <w:pageBreakBefore w:val="0"/>
        <w:widowControl/>
        <w:kinsoku w:val="0"/>
        <w:wordWrap/>
        <w:overflowPunct/>
        <w:topLinePunct w:val="0"/>
        <w:autoSpaceDE w:val="0"/>
        <w:autoSpaceDN w:val="0"/>
        <w:bidi w:val="0"/>
        <w:adjustRightInd w:val="0"/>
        <w:snapToGrid w:val="0"/>
        <w:spacing w:before="0" w:beforeLines="150" w:after="0" w:line="360" w:lineRule="auto"/>
        <w:jc w:val="center"/>
        <w:textAlignment w:val="baseline"/>
        <w:rPr>
          <w:rFonts w:hint="eastAsia" w:ascii="宋体" w:hAnsi="宋体" w:eastAsia="方正小标宋简体" w:cs="方正小标宋简体"/>
          <w:b/>
          <w:bCs/>
          <w:sz w:val="36"/>
          <w:szCs w:val="36"/>
        </w:rPr>
      </w:pPr>
      <w:r>
        <w:rPr>
          <w:rFonts w:hint="eastAsia" w:ascii="宋体" w:hAnsi="宋体" w:eastAsia="方正小标宋简体" w:cs="方正小标宋简体"/>
          <w:b/>
          <w:bCs/>
          <w:sz w:val="36"/>
          <w:szCs w:val="36"/>
          <w:lang w:val="en-US" w:eastAsia="zh-CN"/>
        </w:rPr>
        <w:t>长春市宽城区医院异地建设</w:t>
      </w:r>
      <w:r>
        <w:rPr>
          <w:rFonts w:hint="eastAsia" w:ascii="宋体" w:hAnsi="宋体" w:eastAsia="方正小标宋简体" w:cs="方正小标宋简体"/>
          <w:b/>
          <w:bCs/>
          <w:sz w:val="36"/>
          <w:szCs w:val="36"/>
        </w:rPr>
        <w:t>项目</w:t>
      </w:r>
    </w:p>
    <w:p w14:paraId="78782AEE">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宋体" w:hAnsi="宋体" w:eastAsia="方正小标宋简体" w:cs="方正小标宋简体"/>
          <w:b/>
          <w:bCs/>
          <w:sz w:val="36"/>
          <w:szCs w:val="36"/>
        </w:rPr>
      </w:pPr>
      <w:r>
        <w:rPr>
          <w:rFonts w:hint="eastAsia" w:ascii="宋体" w:hAnsi="宋体" w:eastAsia="方正小标宋简体" w:cs="方正小标宋简体"/>
          <w:b/>
          <w:bCs/>
          <w:sz w:val="36"/>
          <w:szCs w:val="36"/>
        </w:rPr>
        <w:t>绩效评价报告</w:t>
      </w:r>
    </w:p>
    <w:p w14:paraId="29A9BC6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24" w:firstLineChars="200"/>
        <w:jc w:val="both"/>
        <w:textAlignment w:val="baseline"/>
        <w:rPr>
          <w:rFonts w:hint="eastAsia" w:ascii="宋体" w:hAnsi="宋体" w:eastAsia="仿宋_GB2312" w:cs="仿宋_GB2312"/>
          <w:i w:val="0"/>
          <w:iCs w:val="0"/>
          <w:caps w:val="0"/>
          <w:color w:val="333333"/>
          <w:spacing w:val="6"/>
          <w:sz w:val="30"/>
          <w:szCs w:val="30"/>
          <w:highlight w:val="none"/>
          <w:shd w:val="clear" w:fill="FFFFFF"/>
          <w:lang w:val="en-US" w:eastAsia="zh-CN"/>
        </w:rPr>
      </w:pPr>
      <w:bookmarkStart w:id="2" w:name="_bookmark1"/>
      <w:bookmarkEnd w:id="2"/>
      <w:bookmarkStart w:id="3" w:name="_bookmark2"/>
      <w:bookmarkEnd w:id="3"/>
    </w:p>
    <w:p w14:paraId="5AE17543">
      <w:pPr>
        <w:pStyle w:val="2"/>
        <w:keepNext/>
        <w:keepLines/>
        <w:pageBreakBefore w:val="0"/>
        <w:widowControl/>
        <w:kinsoku/>
        <w:wordWrap/>
        <w:overflowPunct/>
        <w:topLinePunct w:val="0"/>
        <w:autoSpaceDE w:val="0"/>
        <w:autoSpaceDN w:val="0"/>
        <w:bidi w:val="0"/>
        <w:adjustRightInd w:val="0"/>
        <w:snapToGrid w:val="0"/>
        <w:ind w:firstLine="584" w:firstLineChars="200"/>
        <w:jc w:val="both"/>
        <w:textAlignment w:val="baseline"/>
        <w:rPr>
          <w:rFonts w:hint="eastAsia" w:ascii="仿宋_GB2312" w:hAnsi="仿宋_GB2312" w:eastAsia="仿宋_GB2312" w:cs="仿宋_GB2312"/>
          <w:b w:val="0"/>
          <w:bCs/>
          <w:i w:val="0"/>
          <w:iCs w:val="0"/>
          <w:caps w:val="0"/>
          <w:color w:val="333333"/>
          <w:spacing w:val="6"/>
          <w:sz w:val="28"/>
          <w:szCs w:val="28"/>
          <w:highlight w:val="none"/>
          <w:shd w:val="clear" w:fill="FFFFFF"/>
          <w:lang w:val="en-US" w:eastAsia="zh-CN"/>
        </w:rPr>
      </w:pPr>
      <w:bookmarkStart w:id="4" w:name="_Toc13332"/>
      <w:r>
        <w:rPr>
          <w:rFonts w:hint="eastAsia" w:ascii="仿宋_GB2312" w:hAnsi="仿宋_GB2312" w:eastAsia="仿宋_GB2312" w:cs="仿宋_GB2312"/>
          <w:b w:val="0"/>
          <w:bCs/>
          <w:i w:val="0"/>
          <w:iCs w:val="0"/>
          <w:caps w:val="0"/>
          <w:color w:val="333333"/>
          <w:spacing w:val="6"/>
          <w:sz w:val="28"/>
          <w:szCs w:val="28"/>
          <w:highlight w:val="none"/>
          <w:shd w:val="clear" w:fill="FFFFFF"/>
          <w:lang w:val="en-US" w:eastAsia="zh-CN"/>
        </w:rPr>
        <w:t>我们接受长春宽城经济开发区管理委员会（以下简称：开发区管委会）委托，对长春市宽城区医院异地建设项目（简称“本项目”）开展2025年度绩效评价。依据《中华人民共和国预算法》《中共中央国务院关于全面实施预算绩效管理的意见》（中发【2018】34号）、《地方政府专项债券项目资金绩效管理办法》（财预【2021】61号）、《吉林省地方政府专项债券项目绩效评价管理办法（试行）》（吉财债【2021】1044号）、《吉林省项目支出预算绩效目标管理办法》（吉财绩【2021】1333号）、《关于印发〈基本建设项目建设成本管理规定〉的通知》（财建【2016】504号）、《关于委托第三方机构参与预算绩效管理的指导意见》（财预【2021】6号）等文件要求，我们评价采用定量和定性分析相结合的方法，实施了资料审阅、账务核实、现场查勘、询问、分析计算等必要的评价程序，从项目决策、管理、产出、效益等方面进行了综合评价。现将评价情况报告如下：</w:t>
      </w:r>
    </w:p>
    <w:p w14:paraId="260F22D1">
      <w:pPr>
        <w:pStyle w:val="2"/>
        <w:pageBreakBefore w:val="0"/>
        <w:wordWrap/>
        <w:overflowPunct/>
        <w:topLinePunct w:val="0"/>
        <w:bidi w:val="0"/>
        <w:ind w:firstLine="562" w:firstLineChars="200"/>
        <w:jc w:val="both"/>
        <w:textAlignment w:val="baseline"/>
        <w:rPr>
          <w:rFonts w:hint="eastAsia" w:ascii="宋体" w:hAnsi="宋体"/>
          <w:sz w:val="28"/>
          <w:szCs w:val="28"/>
          <w:lang w:val="en-US" w:eastAsia="zh-CN"/>
        </w:rPr>
      </w:pPr>
      <w:r>
        <w:rPr>
          <w:rFonts w:hint="eastAsia" w:ascii="宋体" w:hAnsi="宋体"/>
          <w:sz w:val="28"/>
          <w:szCs w:val="28"/>
          <w:lang w:val="en-US" w:eastAsia="zh-CN"/>
        </w:rPr>
        <w:t>一、项目概况</w:t>
      </w:r>
      <w:bookmarkEnd w:id="4"/>
    </w:p>
    <w:p w14:paraId="01B958E2">
      <w:pPr>
        <w:pStyle w:val="3"/>
        <w:pageBreakBefore w:val="0"/>
        <w:wordWrap/>
        <w:overflowPunct/>
        <w:topLinePunct w:val="0"/>
        <w:bidi w:val="0"/>
        <w:ind w:firstLine="562" w:firstLineChars="200"/>
        <w:jc w:val="both"/>
        <w:textAlignment w:val="baseline"/>
        <w:rPr>
          <w:rFonts w:hint="eastAsia" w:ascii="宋体" w:hAnsi="宋体"/>
          <w:sz w:val="28"/>
          <w:szCs w:val="28"/>
          <w:lang w:val="en-US" w:eastAsia="zh-CN"/>
        </w:rPr>
      </w:pPr>
      <w:bookmarkStart w:id="5" w:name="_Toc32104"/>
      <w:r>
        <w:rPr>
          <w:rFonts w:hint="eastAsia" w:ascii="宋体" w:hAnsi="宋体"/>
          <w:sz w:val="28"/>
          <w:szCs w:val="28"/>
          <w:lang w:val="en-US" w:eastAsia="zh-CN"/>
        </w:rPr>
        <w:t>（一）项目立项的背景和目标</w:t>
      </w:r>
      <w:bookmarkEnd w:id="5"/>
    </w:p>
    <w:p w14:paraId="55C5E1AC">
      <w:pPr>
        <w:pStyle w:val="4"/>
        <w:pageBreakBefore w:val="0"/>
        <w:kinsoku w:val="0"/>
        <w:wordWrap/>
        <w:overflowPunct/>
        <w:topLinePunct w:val="0"/>
        <w:autoSpaceDE w:val="0"/>
        <w:autoSpaceDN w:val="0"/>
        <w:bidi w:val="0"/>
        <w:adjustRightInd w:val="0"/>
        <w:snapToGrid w:val="0"/>
        <w:ind w:firstLine="560" w:firstLineChars="200"/>
        <w:jc w:val="both"/>
        <w:textAlignment w:val="baseline"/>
        <w:rPr>
          <w:rFonts w:hint="eastAsia" w:ascii="宋体" w:hAnsi="宋体"/>
          <w:sz w:val="28"/>
          <w:szCs w:val="28"/>
          <w:lang w:val="en-US" w:eastAsia="zh-CN"/>
        </w:rPr>
      </w:pPr>
      <w:bookmarkStart w:id="6" w:name="_Toc24168"/>
      <w:bookmarkStart w:id="7" w:name="_Toc20436"/>
      <w:bookmarkStart w:id="8" w:name="_Toc25668"/>
      <w:r>
        <w:rPr>
          <w:rFonts w:hint="eastAsia" w:ascii="宋体" w:hAnsi="宋体"/>
          <w:sz w:val="28"/>
          <w:szCs w:val="28"/>
          <w:lang w:val="en-US" w:eastAsia="zh-CN"/>
        </w:rPr>
        <w:t>1.项目立项的背景</w:t>
      </w:r>
      <w:bookmarkEnd w:id="6"/>
      <w:bookmarkEnd w:id="7"/>
      <w:bookmarkEnd w:id="8"/>
    </w:p>
    <w:p w14:paraId="7F9F186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随着长春市宽城区经济社会快速发展，卫生事业也迅速发展，但仍需进一步优化配置医疗卫生资源，有序发展医疗资源总量。例如《吉林省医疗机构设置规划（2016—2020年）》（吉卫医发[2016]16号）计划到2020年每千常住人口拥有床位数控制在5.78张，目前每千常住人口拥有床位约4.95张，与规划目标仍存在差距，</w:t>
      </w:r>
    </w:p>
    <w:p w14:paraId="2FB233A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全区缺编床位数518张。同时，随着新型冠状病毒全球爆发并波及全国乃至全球，疫情防控战将持续开展，开展确诊和无症状病例的医疗救治工作，以及防护工作将持续进行，特别是发热门诊为相关患者提供诊疗服务需求进一步扩大。人民健康是社会文明进步的基础，卫生健康事业发展是人民健康的基石。</w:t>
      </w:r>
    </w:p>
    <w:p w14:paraId="5580F7A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584" w:firstLineChars="200"/>
        <w:jc w:val="both"/>
        <w:textAlignment w:val="baseline"/>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随着宽城区医院业务量的快速发展，医院的业务用房已远不能满足现在及将来发展的需要，严重影响该院的发展和业务的开展</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随着新型冠状病毒全球爆发并波及全国乃至全球，疫情防控战将持续开展，开展疑似病例和确诊病例的医疗救治工作，以及防护工作将持续进行，特别是发热门诊为相关患者提供诊疗服务需求进一步扩大。随着人民群众对医疗服务需求的日益提高，宽城区医院业务用房紧张的情况还难以解决人民群众看病难等问题，无法满足人民群众对医疗卫生服务日益提高的需求。目前宽城区每千常住人口拥有床位约4.95张，与吉卫医发〔2016〕16号文规划目标仍存在差距。为促进我区医疗卫生资源进一步优化配置，落实医疗机构功能定位，更好的为全区人民提供优质高效医疗卫生服务，特提出本建设项目</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w:t>
      </w:r>
    </w:p>
    <w:p w14:paraId="0EDF38B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长春市宽城区医院异地建设项目建成后，将成为长春市城区硬件条件最好区级医院，极大的缓解了城区铁北区域，特别是北凯旋路以西居民医疗卫生服务需求压力，通过充实人员、提升服务能力、增加服务项目等手段，把长春市宽城区医院打造成为长春市区属医疗机构的龙头单位，发挥更重要的作用。</w:t>
      </w:r>
    </w:p>
    <w:p w14:paraId="1457E0B9">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9" w:name="_Toc9951"/>
      <w:bookmarkStart w:id="10" w:name="_Toc10199"/>
      <w:bookmarkStart w:id="11" w:name="_Toc3182"/>
      <w:r>
        <w:rPr>
          <w:rFonts w:hint="eastAsia" w:ascii="宋体" w:hAnsi="宋体"/>
          <w:sz w:val="28"/>
          <w:szCs w:val="28"/>
          <w:lang w:val="en-US" w:eastAsia="zh-CN"/>
        </w:rPr>
        <w:t>2.项目建设单位基本情况</w:t>
      </w:r>
      <w:bookmarkEnd w:id="9"/>
      <w:bookmarkEnd w:id="10"/>
      <w:bookmarkEnd w:id="11"/>
    </w:p>
    <w:p w14:paraId="38E703D0">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项目</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建设</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单位：</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长春市宽城区医院</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（以下简称“</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宽城区医院</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统一社会信用代码：12220103423973330A，法定代表人：刘国辉，开办资金：35,249万，经费来源：财政补助（差额补贴），举办单位：长春市宽城区卫生健康局，住所：长春市宽城区北宁路266号，宗旨和业务范围：为人民身体健康提供医疗与护理保健服务。内、外、妇产、儿科、口腔、皮肤、美容、性病、检验、放射线、中医、家庭病床、CT、电诊、药剂、介入、神经、骨肿瘤，医科大中专生临床实习</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w:t>
      </w:r>
    </w:p>
    <w:p w14:paraId="29591E9C">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12" w:name="_Toc29338"/>
      <w:bookmarkStart w:id="13" w:name="_Toc26238"/>
      <w:bookmarkStart w:id="14" w:name="_Toc8078"/>
      <w:r>
        <w:rPr>
          <w:rFonts w:hint="eastAsia" w:ascii="宋体" w:hAnsi="宋体"/>
          <w:sz w:val="28"/>
          <w:szCs w:val="28"/>
          <w:lang w:val="en-US" w:eastAsia="zh-CN"/>
        </w:rPr>
        <w:t>3.项目建设内容</w:t>
      </w:r>
      <w:bookmarkEnd w:id="12"/>
      <w:bookmarkEnd w:id="13"/>
      <w:bookmarkEnd w:id="14"/>
    </w:p>
    <w:p w14:paraId="20FFACB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宋体" w:hAnsi="宋体" w:eastAsia="仿宋_GB2312" w:cs="仿宋_GB2312"/>
          <w:b w:val="0"/>
          <w:bCs/>
          <w:i w:val="0"/>
          <w:iCs w:val="0"/>
          <w:caps w:val="0"/>
          <w:snapToGrid w:val="0"/>
          <w:color w:val="333333"/>
          <w:spacing w:val="6"/>
          <w:kern w:val="0"/>
          <w:sz w:val="28"/>
          <w:szCs w:val="28"/>
          <w:highlight w:val="none"/>
          <w:shd w:val="clear" w:fill="FFFFFF"/>
          <w:lang w:val="en-US" w:eastAsia="zh-CN" w:bidi="ar"/>
        </w:rPr>
      </w:pPr>
      <w:r>
        <w:rPr>
          <w:rFonts w:hint="eastAsia" w:ascii="宋体" w:hAnsi="宋体" w:cs="仿宋_GB2312"/>
          <w:b w:val="0"/>
          <w:bCs/>
          <w:i w:val="0"/>
          <w:iCs w:val="0"/>
          <w:caps w:val="0"/>
          <w:snapToGrid w:val="0"/>
          <w:color w:val="333333"/>
          <w:spacing w:val="6"/>
          <w:kern w:val="0"/>
          <w:sz w:val="28"/>
          <w:szCs w:val="28"/>
          <w:highlight w:val="none"/>
          <w:shd w:val="clear" w:fill="FFFFFF"/>
          <w:lang w:val="en-US" w:eastAsia="zh-CN" w:bidi="ar"/>
        </w:rPr>
        <w:t>依据《宽城区发展和改革局关于调整长春市宽城区医院异地建设项目初步设计的批复》（长宽发改字【2023】16号），</w:t>
      </w:r>
      <w:r>
        <w:rPr>
          <w:rFonts w:hint="eastAsia" w:ascii="宋体" w:hAnsi="宋体" w:eastAsia="仿宋_GB2312" w:cs="仿宋_GB2312"/>
          <w:b w:val="0"/>
          <w:bCs/>
          <w:i w:val="0"/>
          <w:iCs w:val="0"/>
          <w:caps w:val="0"/>
          <w:snapToGrid w:val="0"/>
          <w:color w:val="333333"/>
          <w:spacing w:val="6"/>
          <w:kern w:val="0"/>
          <w:sz w:val="28"/>
          <w:szCs w:val="28"/>
          <w:highlight w:val="none"/>
          <w:shd w:val="clear" w:fill="FFFFFF"/>
          <w:lang w:val="en-US" w:eastAsia="zh-CN" w:bidi="ar"/>
        </w:rPr>
        <w:t>本项目建设地点位于宽城经济开发区北凯旋路以东、居住用地以西、丙四十一路以南、乙七路以北</w:t>
      </w:r>
      <w:r>
        <w:rPr>
          <w:rFonts w:hint="eastAsia" w:ascii="宋体" w:hAnsi="宋体" w:cs="仿宋_GB2312"/>
          <w:b w:val="0"/>
          <w:bCs/>
          <w:i w:val="0"/>
          <w:iCs w:val="0"/>
          <w:caps w:val="0"/>
          <w:snapToGrid w:val="0"/>
          <w:color w:val="333333"/>
          <w:spacing w:val="6"/>
          <w:kern w:val="0"/>
          <w:sz w:val="28"/>
          <w:szCs w:val="28"/>
          <w:highlight w:val="none"/>
          <w:shd w:val="clear" w:fill="FFFFFF"/>
          <w:lang w:val="en-US" w:eastAsia="zh-CN" w:bidi="ar"/>
        </w:rPr>
        <w:t>；建设规模及内容：</w:t>
      </w:r>
      <w:r>
        <w:rPr>
          <w:rFonts w:hint="eastAsia" w:ascii="宋体" w:hAnsi="宋体" w:eastAsia="仿宋_GB2312" w:cs="仿宋_GB2312"/>
          <w:b w:val="0"/>
          <w:bCs/>
          <w:i w:val="0"/>
          <w:iCs w:val="0"/>
          <w:caps w:val="0"/>
          <w:snapToGrid w:val="0"/>
          <w:color w:val="333333"/>
          <w:spacing w:val="6"/>
          <w:kern w:val="0"/>
          <w:sz w:val="28"/>
          <w:szCs w:val="28"/>
          <w:highlight w:val="none"/>
          <w:shd w:val="clear" w:fill="FFFFFF"/>
          <w:lang w:val="en-US" w:eastAsia="zh-CN" w:bidi="ar"/>
        </w:rPr>
        <w:t>按照二乙级医院建设标准，新建门诊医技住院综合楼、发热门诊楼、门卫处、污水处理垃圾处理处，用地面积30000.00平方米，总建筑面积46722.72平方米，地上建筑面积35557.34平方米，包括门诊医技住院综合楼33233.26平方米，发热门诊楼2056.00平方米，污水处理垃圾暂存268.08平方米；地下建筑面积11165.38平方米。含场地、大门、围墙、充电车位等，以及红线内室外电力外网管线、弱电外网管线、室外道路照明等。</w:t>
      </w:r>
    </w:p>
    <w:p w14:paraId="09BD864B">
      <w:pPr>
        <w:pStyle w:val="4"/>
        <w:pageBreakBefore w:val="0"/>
        <w:wordWrap/>
        <w:overflowPunct/>
        <w:topLinePunct w:val="0"/>
        <w:bidi w:val="0"/>
        <w:ind w:firstLine="560" w:firstLineChars="200"/>
        <w:jc w:val="both"/>
        <w:textAlignment w:val="baseline"/>
        <w:rPr>
          <w:rFonts w:hint="eastAsia" w:ascii="宋体" w:hAnsi="宋体"/>
          <w:sz w:val="28"/>
          <w:szCs w:val="28"/>
          <w:highlight w:val="none"/>
          <w:lang w:val="en-US" w:eastAsia="zh-CN"/>
        </w:rPr>
      </w:pPr>
      <w:bookmarkStart w:id="15" w:name="_Toc1475"/>
      <w:bookmarkStart w:id="16" w:name="_Toc18194"/>
      <w:bookmarkStart w:id="17" w:name="_Toc6156"/>
      <w:r>
        <w:rPr>
          <w:rFonts w:hint="eastAsia" w:ascii="宋体" w:hAnsi="宋体"/>
          <w:sz w:val="28"/>
          <w:szCs w:val="28"/>
          <w:lang w:val="en-US" w:eastAsia="zh-CN"/>
        </w:rPr>
        <w:t>4.项目实施情况</w:t>
      </w:r>
      <w:bookmarkEnd w:id="15"/>
      <w:bookmarkEnd w:id="16"/>
      <w:bookmarkEnd w:id="17"/>
    </w:p>
    <w:p w14:paraId="11ED82A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84" w:firstLineChars="200"/>
        <w:jc w:val="both"/>
        <w:textAlignment w:val="baseline"/>
        <w:rPr>
          <w:rFonts w:hint="default" w:ascii="宋体" w:hAnsi="宋体" w:eastAsia="仿宋_GB2312" w:cs="仿宋_GB2312"/>
          <w:b w:val="0"/>
          <w:bCs/>
          <w:i w:val="0"/>
          <w:iCs w:val="0"/>
          <w:caps w:val="0"/>
          <w:snapToGrid w:val="0"/>
          <w:color w:val="333333"/>
          <w:spacing w:val="6"/>
          <w:kern w:val="0"/>
          <w:sz w:val="28"/>
          <w:szCs w:val="28"/>
          <w:highlight w:val="none"/>
          <w:shd w:val="clear" w:fill="FFFFFF"/>
          <w:lang w:val="en-US" w:eastAsia="zh-CN" w:bidi="ar"/>
        </w:rPr>
      </w:pPr>
      <w:r>
        <w:rPr>
          <w:rFonts w:hint="eastAsia" w:ascii="宋体" w:hAnsi="宋体" w:cs="仿宋_GB2312"/>
          <w:b w:val="0"/>
          <w:bCs/>
          <w:i w:val="0"/>
          <w:iCs w:val="0"/>
          <w:caps w:val="0"/>
          <w:snapToGrid w:val="0"/>
          <w:color w:val="333333"/>
          <w:spacing w:val="6"/>
          <w:kern w:val="0"/>
          <w:sz w:val="28"/>
          <w:szCs w:val="28"/>
          <w:highlight w:val="none"/>
          <w:shd w:val="clear" w:fill="FFFFFF"/>
          <w:lang w:val="en-US" w:eastAsia="zh-CN" w:bidi="ar"/>
        </w:rPr>
        <w:t>依据《关于调整长春市宽城区医院异地建设项目可行性研究报告的批复》（长宽发改字【2022】91号），本项目建设周期：项目实施进度计划为36个月，从2022年9月-2025年8月。</w:t>
      </w:r>
      <w:r>
        <w:rPr>
          <w:rFonts w:hint="eastAsia" w:ascii="宋体" w:hAnsi="宋体" w:eastAsia="仿宋_GB2312" w:cs="仿宋_GB2312"/>
          <w:b w:val="0"/>
          <w:bCs/>
          <w:i w:val="0"/>
          <w:iCs w:val="0"/>
          <w:caps w:val="0"/>
          <w:snapToGrid w:val="0"/>
          <w:color w:val="333333"/>
          <w:spacing w:val="6"/>
          <w:kern w:val="0"/>
          <w:sz w:val="28"/>
          <w:szCs w:val="28"/>
          <w:highlight w:val="none"/>
          <w:shd w:val="clear" w:fill="FFFFFF"/>
          <w:lang w:val="en-US" w:eastAsia="zh-CN" w:bidi="ar"/>
        </w:rPr>
        <w:t>依据</w:t>
      </w:r>
      <w:r>
        <w:rPr>
          <w:rFonts w:hint="eastAsia" w:ascii="宋体" w:hAnsi="宋体" w:cs="仿宋_GB2312"/>
          <w:b w:val="0"/>
          <w:bCs/>
          <w:i w:val="0"/>
          <w:iCs w:val="0"/>
          <w:caps w:val="0"/>
          <w:snapToGrid w:val="0"/>
          <w:color w:val="333333"/>
          <w:spacing w:val="6"/>
          <w:kern w:val="0"/>
          <w:sz w:val="28"/>
          <w:szCs w:val="28"/>
          <w:highlight w:val="none"/>
          <w:shd w:val="clear" w:fill="FFFFFF"/>
          <w:lang w:val="en-US" w:eastAsia="zh-CN" w:bidi="ar"/>
        </w:rPr>
        <w:t>项目开工报告</w:t>
      </w:r>
      <w:r>
        <w:rPr>
          <w:rFonts w:hint="eastAsia" w:ascii="宋体" w:hAnsi="宋体" w:eastAsia="仿宋_GB2312" w:cs="仿宋_GB2312"/>
          <w:b w:val="0"/>
          <w:bCs/>
          <w:i w:val="0"/>
          <w:iCs w:val="0"/>
          <w:caps w:val="0"/>
          <w:snapToGrid w:val="0"/>
          <w:color w:val="333333"/>
          <w:spacing w:val="6"/>
          <w:kern w:val="0"/>
          <w:sz w:val="28"/>
          <w:szCs w:val="28"/>
          <w:highlight w:val="none"/>
          <w:shd w:val="clear" w:fill="FFFFFF"/>
          <w:lang w:val="en-US" w:eastAsia="zh-CN" w:bidi="ar"/>
        </w:rPr>
        <w:t>，</w:t>
      </w:r>
      <w:r>
        <w:rPr>
          <w:rFonts w:hint="eastAsia" w:ascii="宋体" w:hAnsi="宋体" w:cs="仿宋_GB2312"/>
          <w:b w:val="0"/>
          <w:bCs/>
          <w:i w:val="0"/>
          <w:iCs w:val="0"/>
          <w:caps w:val="0"/>
          <w:snapToGrid w:val="0"/>
          <w:color w:val="333333"/>
          <w:spacing w:val="6"/>
          <w:kern w:val="0"/>
          <w:sz w:val="28"/>
          <w:szCs w:val="28"/>
          <w:highlight w:val="none"/>
          <w:shd w:val="clear" w:fill="FFFFFF"/>
          <w:lang w:val="en-US" w:eastAsia="zh-CN" w:bidi="ar"/>
        </w:rPr>
        <w:t>项目于2023年4月7日开工。依据区医院提供的情况说明截至2025年末，本项目建设内容全部完工。按照竣工验收相关规定分步开展验收工作。目前已完成规划、消防验收各项指标均符合设计标准及行业规范，正在组织剩余联合验收。</w:t>
      </w:r>
    </w:p>
    <w:p w14:paraId="0E74CB92">
      <w:pPr>
        <w:pStyle w:val="4"/>
        <w:pageBreakBefore w:val="0"/>
        <w:kinsoku w:val="0"/>
        <w:wordWrap/>
        <w:overflowPunct/>
        <w:topLinePunct w:val="0"/>
        <w:autoSpaceDE w:val="0"/>
        <w:autoSpaceDN w:val="0"/>
        <w:bidi w:val="0"/>
        <w:adjustRightInd w:val="0"/>
        <w:snapToGrid w:val="0"/>
        <w:spacing w:beforeLines="0" w:afterLines="0" w:line="360" w:lineRule="auto"/>
        <w:ind w:firstLine="560" w:firstLineChars="200"/>
        <w:jc w:val="both"/>
        <w:textAlignment w:val="baseline"/>
        <w:rPr>
          <w:rFonts w:hint="eastAsia" w:ascii="宋体" w:hAnsi="宋体"/>
          <w:sz w:val="28"/>
          <w:szCs w:val="28"/>
          <w:lang w:val="en-US" w:eastAsia="zh-CN"/>
        </w:rPr>
      </w:pPr>
      <w:bookmarkStart w:id="18" w:name="_Toc1009"/>
      <w:bookmarkStart w:id="19" w:name="_Toc20185"/>
      <w:bookmarkStart w:id="20" w:name="_Toc15857"/>
      <w:r>
        <w:rPr>
          <w:rFonts w:hint="eastAsia" w:ascii="宋体" w:hAnsi="宋体"/>
          <w:sz w:val="28"/>
          <w:szCs w:val="28"/>
          <w:lang w:val="en-US" w:eastAsia="zh-CN"/>
        </w:rPr>
        <w:t>5.资金筹措及到位情况</w:t>
      </w:r>
      <w:bookmarkEnd w:id="18"/>
      <w:bookmarkEnd w:id="19"/>
      <w:bookmarkEnd w:id="20"/>
    </w:p>
    <w:p w14:paraId="5BC24F21">
      <w:pPr>
        <w:pStyle w:val="5"/>
        <w:pageBreakBefore w:val="0"/>
        <w:kinsoku w:val="0"/>
        <w:wordWrap/>
        <w:overflowPunct/>
        <w:topLinePunct w:val="0"/>
        <w:autoSpaceDE w:val="0"/>
        <w:autoSpaceDN w:val="0"/>
        <w:bidi w:val="0"/>
        <w:adjustRightInd w:val="0"/>
        <w:snapToGrid w:val="0"/>
        <w:spacing w:beforeLines="0" w:afterLines="0" w:line="360" w:lineRule="auto"/>
        <w:ind w:firstLine="560" w:firstLineChars="200"/>
        <w:jc w:val="both"/>
        <w:textAlignment w:val="baseline"/>
        <w:rPr>
          <w:rFonts w:hint="eastAsia" w:ascii="宋体" w:hAnsi="宋体"/>
          <w:sz w:val="28"/>
          <w:szCs w:val="28"/>
          <w:lang w:val="en-US" w:eastAsia="zh-CN"/>
        </w:rPr>
      </w:pPr>
      <w:r>
        <w:rPr>
          <w:rFonts w:hint="eastAsia" w:ascii="宋体" w:hAnsi="宋体"/>
          <w:sz w:val="28"/>
          <w:szCs w:val="28"/>
          <w:lang w:val="en-US" w:eastAsia="zh-CN"/>
        </w:rPr>
        <w:t>（1）项目资金总额及组成</w:t>
      </w:r>
    </w:p>
    <w:p w14:paraId="5CF80DB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宋体" w:hAnsi="宋体" w:eastAsia="仿宋_GB2312" w:cs="仿宋_GB2312"/>
          <w:i w:val="0"/>
          <w:iCs w:val="0"/>
          <w:caps w:val="0"/>
          <w:snapToGrid w:val="0"/>
          <w:color w:val="333333"/>
          <w:spacing w:val="6"/>
          <w:kern w:val="0"/>
          <w:sz w:val="28"/>
          <w:szCs w:val="28"/>
          <w:highlight w:val="none"/>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依据</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《关于调整长春市宽城区医院异地建设项目初步设计的通知》（长宽发改字【2023】93号）</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本</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项目总投资为</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55,169.10</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万元，其中拟利用地方财政预算资金14,369.10万</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元</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，占比26.05%，发行</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地方政府</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专项债券</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40,800</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万元，占比73.</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95</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截至2025年末已发行专项债券40,758.03万元，其中：</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2022年发行</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16</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2</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00.00万元</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，2023年发行7,958.03万元，2024年发行9,000.00万元</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2025年发行7,600.00万元。</w:t>
      </w:r>
    </w:p>
    <w:p w14:paraId="63F5D5D5">
      <w:pPr>
        <w:pStyle w:val="5"/>
        <w:pageBreakBefore w:val="0"/>
        <w:kinsoku w:val="0"/>
        <w:wordWrap/>
        <w:overflowPunct/>
        <w:topLinePunct w:val="0"/>
        <w:autoSpaceDE w:val="0"/>
        <w:autoSpaceDN w:val="0"/>
        <w:bidi w:val="0"/>
        <w:adjustRightInd w:val="0"/>
        <w:snapToGrid w:val="0"/>
        <w:spacing w:beforeLines="0" w:afterLines="0" w:line="360" w:lineRule="auto"/>
        <w:ind w:left="0" w:leftChars="0" w:firstLine="560" w:firstLineChars="200"/>
        <w:jc w:val="both"/>
        <w:textAlignment w:val="baseline"/>
        <w:rPr>
          <w:rFonts w:hint="default" w:ascii="宋体" w:hAnsi="宋体"/>
          <w:sz w:val="28"/>
          <w:szCs w:val="28"/>
          <w:lang w:val="en-US" w:eastAsia="zh-CN"/>
        </w:rPr>
      </w:pPr>
      <w:r>
        <w:rPr>
          <w:rFonts w:hint="eastAsia" w:ascii="宋体" w:hAnsi="宋体"/>
          <w:sz w:val="28"/>
          <w:szCs w:val="28"/>
          <w:lang w:val="en-US" w:eastAsia="zh-CN"/>
        </w:rPr>
        <w:t>（2）资金投入情况</w:t>
      </w:r>
    </w:p>
    <w:p w14:paraId="0022C4F0">
      <w:pPr>
        <w:pStyle w:val="5"/>
        <w:keepNext/>
        <w:keepLines/>
        <w:pageBreakBefore w:val="0"/>
        <w:widowControl/>
        <w:kinsoku w:val="0"/>
        <w:wordWrap/>
        <w:overflowPunct/>
        <w:topLinePunct w:val="0"/>
        <w:autoSpaceDE w:val="0"/>
        <w:autoSpaceDN w:val="0"/>
        <w:bidi w:val="0"/>
        <w:adjustRightInd w:val="0"/>
        <w:snapToGrid w:val="0"/>
        <w:spacing w:beforeLines="0" w:afterLines="0" w:line="360" w:lineRule="auto"/>
        <w:ind w:firstLine="584" w:firstLineChars="200"/>
        <w:jc w:val="both"/>
        <w:textAlignment w:val="baseline"/>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pP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 xml:space="preserve">截至2025年末，本项目资金到位共计42,973.12万元，其中：财政预算资金2,215.09元，专项债券资金40,758.03万元。2025年专项债券资金到位7,600.00万元，财政资金到位140.30万元。 </w:t>
      </w:r>
    </w:p>
    <w:p w14:paraId="3ADC4069">
      <w:pPr>
        <w:pStyle w:val="5"/>
        <w:keepNext/>
        <w:keepLines/>
        <w:pageBreakBefore w:val="0"/>
        <w:widowControl/>
        <w:kinsoku w:val="0"/>
        <w:wordWrap/>
        <w:overflowPunct/>
        <w:topLinePunct w:val="0"/>
        <w:autoSpaceDE w:val="0"/>
        <w:autoSpaceDN w:val="0"/>
        <w:bidi w:val="0"/>
        <w:adjustRightInd w:val="0"/>
        <w:snapToGrid w:val="0"/>
        <w:spacing w:beforeLines="0" w:afterLines="0" w:line="360" w:lineRule="auto"/>
        <w:ind w:firstLine="560" w:firstLineChars="200"/>
        <w:jc w:val="both"/>
        <w:textAlignment w:val="baseline"/>
        <w:rPr>
          <w:rFonts w:hint="eastAsia" w:ascii="宋体" w:hAnsi="宋体" w:eastAsia="仿宋_GB2312"/>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资金使用</w:t>
      </w:r>
      <w:r>
        <w:rPr>
          <w:rFonts w:hint="eastAsia" w:ascii="宋体" w:hAnsi="宋体"/>
          <w:sz w:val="28"/>
          <w:szCs w:val="28"/>
          <w:lang w:val="en-US" w:eastAsia="zh-CN"/>
        </w:rPr>
        <w:t>情况</w:t>
      </w:r>
    </w:p>
    <w:p w14:paraId="6B0CD88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z w:val="28"/>
          <w:szCs w:val="28"/>
          <w:lang w:eastAsia="zh-CN"/>
        </w:rPr>
      </w:pPr>
      <w:r>
        <w:rPr>
          <w:rFonts w:hint="eastAsia" w:ascii="宋体" w:hAnsi="宋体" w:eastAsia="仿宋_GB2312" w:cs="仿宋_GB2312"/>
          <w:spacing w:val="-8"/>
          <w:sz w:val="28"/>
          <w:szCs w:val="28"/>
          <w:highlight w:val="none"/>
          <w:lang w:val="en-US" w:eastAsia="zh-CN"/>
        </w:rPr>
        <w:t>截至202</w:t>
      </w:r>
      <w:r>
        <w:rPr>
          <w:rFonts w:hint="eastAsia" w:ascii="宋体" w:hAnsi="宋体" w:cs="仿宋_GB2312"/>
          <w:spacing w:val="-8"/>
          <w:sz w:val="28"/>
          <w:szCs w:val="28"/>
          <w:highlight w:val="none"/>
          <w:lang w:val="en-US" w:eastAsia="zh-CN"/>
        </w:rPr>
        <w:t>5</w:t>
      </w:r>
      <w:r>
        <w:rPr>
          <w:rFonts w:hint="eastAsia" w:ascii="宋体" w:hAnsi="宋体" w:eastAsia="仿宋_GB2312" w:cs="仿宋_GB2312"/>
          <w:spacing w:val="-8"/>
          <w:sz w:val="28"/>
          <w:szCs w:val="28"/>
          <w:highlight w:val="none"/>
          <w:lang w:val="en-US" w:eastAsia="zh-CN"/>
        </w:rPr>
        <w:t>年</w:t>
      </w:r>
      <w:r>
        <w:rPr>
          <w:rFonts w:hint="eastAsia" w:ascii="宋体" w:hAnsi="宋体" w:cs="仿宋_GB2312"/>
          <w:spacing w:val="-8"/>
          <w:sz w:val="28"/>
          <w:szCs w:val="28"/>
          <w:highlight w:val="none"/>
          <w:lang w:val="en-US" w:eastAsia="zh-CN"/>
        </w:rPr>
        <w:t>末</w:t>
      </w:r>
      <w:r>
        <w:rPr>
          <w:rFonts w:hint="eastAsia" w:ascii="宋体" w:hAnsi="宋体" w:eastAsia="仿宋_GB2312" w:cs="仿宋_GB2312"/>
          <w:spacing w:val="-8"/>
          <w:sz w:val="28"/>
          <w:szCs w:val="28"/>
          <w:highlight w:val="none"/>
          <w:lang w:val="en-US" w:eastAsia="zh-CN"/>
        </w:rPr>
        <w:t>，项目资金支出</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42,973.12</w:t>
      </w:r>
      <w:r>
        <w:rPr>
          <w:rFonts w:hint="eastAsia" w:ascii="宋体" w:hAnsi="宋体" w:eastAsia="仿宋_GB2312" w:cs="仿宋_GB2312"/>
          <w:spacing w:val="-8"/>
          <w:sz w:val="28"/>
          <w:szCs w:val="28"/>
          <w:highlight w:val="none"/>
          <w:lang w:val="en-US" w:eastAsia="zh-CN"/>
        </w:rPr>
        <w:t>万元，其中财政预算资金</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2,215.09</w:t>
      </w:r>
      <w:r>
        <w:rPr>
          <w:rFonts w:hint="eastAsia" w:ascii="宋体" w:hAnsi="宋体" w:eastAsia="仿宋_GB2312" w:cs="仿宋_GB2312"/>
          <w:spacing w:val="-8"/>
          <w:sz w:val="28"/>
          <w:szCs w:val="28"/>
          <w:highlight w:val="none"/>
          <w:lang w:val="en-US" w:eastAsia="zh-CN"/>
        </w:rPr>
        <w:t>万元，专项债券资金</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40,758.03</w:t>
      </w:r>
      <w:r>
        <w:rPr>
          <w:rFonts w:hint="eastAsia" w:ascii="宋体" w:hAnsi="宋体" w:eastAsia="仿宋_GB2312" w:cs="仿宋_GB2312"/>
          <w:spacing w:val="-8"/>
          <w:sz w:val="28"/>
          <w:szCs w:val="28"/>
          <w:highlight w:val="none"/>
          <w:lang w:val="en-US" w:eastAsia="zh-CN"/>
        </w:rPr>
        <w:t>万元</w:t>
      </w:r>
      <w:r>
        <w:rPr>
          <w:rFonts w:hint="eastAsia" w:ascii="宋体" w:hAnsi="宋体" w:cs="仿宋_GB2312"/>
          <w:spacing w:val="-8"/>
          <w:sz w:val="28"/>
          <w:szCs w:val="28"/>
          <w:highlight w:val="none"/>
          <w:lang w:val="en-US" w:eastAsia="zh-CN"/>
        </w:rPr>
        <w:t>。</w:t>
      </w:r>
      <w:r>
        <w:rPr>
          <w:rFonts w:hint="eastAsia" w:ascii="宋体" w:hAnsi="宋体" w:eastAsia="仿宋_GB2312" w:cs="仿宋_GB2312"/>
          <w:spacing w:val="-8"/>
          <w:sz w:val="28"/>
          <w:szCs w:val="28"/>
          <w:highlight w:val="none"/>
          <w:lang w:val="en-US" w:eastAsia="zh-CN"/>
        </w:rPr>
        <w:t>2025年专项债券资金</w:t>
      </w:r>
      <w:r>
        <w:rPr>
          <w:rFonts w:hint="eastAsia" w:ascii="宋体" w:hAnsi="宋体" w:cs="仿宋_GB2312"/>
          <w:spacing w:val="-8"/>
          <w:sz w:val="28"/>
          <w:szCs w:val="28"/>
          <w:highlight w:val="none"/>
          <w:lang w:val="en-US" w:eastAsia="zh-CN"/>
        </w:rPr>
        <w:t>使用</w:t>
      </w:r>
      <w:r>
        <w:rPr>
          <w:rFonts w:hint="eastAsia" w:ascii="宋体" w:hAnsi="宋体" w:eastAsia="仿宋_GB2312" w:cs="仿宋_GB2312"/>
          <w:spacing w:val="-8"/>
          <w:sz w:val="28"/>
          <w:szCs w:val="28"/>
          <w:highlight w:val="none"/>
          <w:lang w:val="en-US" w:eastAsia="zh-CN"/>
        </w:rPr>
        <w:t>7,600.00万元，财政资金</w:t>
      </w:r>
      <w:r>
        <w:rPr>
          <w:rFonts w:hint="eastAsia" w:ascii="宋体" w:hAnsi="宋体" w:cs="仿宋_GB2312"/>
          <w:spacing w:val="-8"/>
          <w:sz w:val="28"/>
          <w:szCs w:val="28"/>
          <w:highlight w:val="none"/>
          <w:lang w:val="en-US" w:eastAsia="zh-CN"/>
        </w:rPr>
        <w:t>使用</w:t>
      </w:r>
      <w:r>
        <w:rPr>
          <w:rFonts w:hint="eastAsia" w:ascii="宋体" w:hAnsi="宋体" w:eastAsia="仿宋_GB2312" w:cs="仿宋_GB2312"/>
          <w:spacing w:val="-8"/>
          <w:sz w:val="28"/>
          <w:szCs w:val="28"/>
          <w:highlight w:val="none"/>
          <w:lang w:val="en-US" w:eastAsia="zh-CN"/>
        </w:rPr>
        <w:t>140.30万元</w:t>
      </w:r>
      <w:r>
        <w:rPr>
          <w:rFonts w:hint="eastAsia" w:ascii="宋体" w:hAnsi="宋体" w:cs="仿宋_GB2312"/>
          <w:spacing w:val="-8"/>
          <w:sz w:val="28"/>
          <w:szCs w:val="28"/>
          <w:highlight w:val="none"/>
          <w:lang w:val="en-US" w:eastAsia="zh-CN"/>
        </w:rPr>
        <w:t>，</w:t>
      </w:r>
      <w:r>
        <w:rPr>
          <w:rFonts w:hint="eastAsia" w:ascii="宋体" w:hAnsi="宋体" w:eastAsia="仿宋_GB2312" w:cs="仿宋_GB2312"/>
          <w:spacing w:val="-8"/>
          <w:sz w:val="28"/>
          <w:szCs w:val="28"/>
          <w:highlight w:val="none"/>
          <w:lang w:val="en-US" w:eastAsia="zh-CN"/>
        </w:rPr>
        <w:t>资金使用率为</w:t>
      </w:r>
      <w:r>
        <w:rPr>
          <w:rFonts w:hint="eastAsia" w:ascii="宋体" w:hAnsi="宋体" w:cs="仿宋_GB2312"/>
          <w:spacing w:val="-8"/>
          <w:sz w:val="28"/>
          <w:szCs w:val="28"/>
          <w:highlight w:val="none"/>
          <w:lang w:val="en-US" w:eastAsia="zh-CN"/>
        </w:rPr>
        <w:t>100</w:t>
      </w:r>
      <w:r>
        <w:rPr>
          <w:rFonts w:hint="eastAsia" w:ascii="宋体" w:hAnsi="宋体" w:eastAsia="仿宋_GB2312" w:cs="仿宋_GB2312"/>
          <w:spacing w:val="-8"/>
          <w:sz w:val="28"/>
          <w:szCs w:val="28"/>
          <w:highlight w:val="none"/>
          <w:lang w:val="en-US" w:eastAsia="zh-CN"/>
        </w:rPr>
        <w:t>%</w:t>
      </w:r>
      <w:r>
        <w:rPr>
          <w:rFonts w:hint="eastAsia" w:ascii="宋体" w:hAnsi="宋体" w:cs="仿宋_GB2312"/>
          <w:spacing w:val="-8"/>
          <w:sz w:val="28"/>
          <w:szCs w:val="28"/>
          <w:highlight w:val="none"/>
          <w:lang w:val="en-US" w:eastAsia="zh-CN"/>
        </w:rPr>
        <w:t>，专项债券资金</w:t>
      </w:r>
      <w:r>
        <w:rPr>
          <w:rFonts w:hint="eastAsia" w:ascii="宋体" w:hAnsi="宋体" w:eastAsia="仿宋_GB2312" w:cs="仿宋_GB2312"/>
          <w:spacing w:val="-8"/>
          <w:sz w:val="28"/>
          <w:szCs w:val="28"/>
          <w:highlight w:val="none"/>
          <w:lang w:val="en-US" w:eastAsia="zh-CN"/>
        </w:rPr>
        <w:t>主要用于支付工程建设施工款</w:t>
      </w:r>
      <w:r>
        <w:rPr>
          <w:rFonts w:hint="eastAsia" w:ascii="宋体" w:hAnsi="宋体" w:cs="仿宋_GB2312"/>
          <w:spacing w:val="-8"/>
          <w:sz w:val="28"/>
          <w:szCs w:val="28"/>
          <w:highlight w:val="none"/>
          <w:lang w:val="en-US" w:eastAsia="zh-CN"/>
        </w:rPr>
        <w:t>、设备采购款等</w:t>
      </w:r>
      <w:r>
        <w:rPr>
          <w:rFonts w:hint="eastAsia" w:ascii="宋体" w:hAnsi="宋体" w:eastAsia="仿宋_GB2312" w:cs="仿宋_GB2312"/>
          <w:spacing w:val="5"/>
          <w:sz w:val="28"/>
          <w:szCs w:val="28"/>
          <w:lang w:eastAsia="zh-CN"/>
        </w:rPr>
        <w:t>。</w:t>
      </w:r>
    </w:p>
    <w:p w14:paraId="311FB7BE">
      <w:pPr>
        <w:pStyle w:val="3"/>
        <w:pageBreakBefore w:val="0"/>
        <w:wordWrap/>
        <w:overflowPunct/>
        <w:topLinePunct w:val="0"/>
        <w:bidi w:val="0"/>
        <w:ind w:firstLine="562" w:firstLineChars="200"/>
        <w:jc w:val="both"/>
        <w:textAlignment w:val="baseline"/>
        <w:rPr>
          <w:rFonts w:hint="eastAsia" w:ascii="宋体" w:hAnsi="宋体"/>
          <w:sz w:val="28"/>
          <w:szCs w:val="28"/>
        </w:rPr>
      </w:pPr>
      <w:bookmarkStart w:id="21" w:name="_bookmark3"/>
      <w:bookmarkEnd w:id="21"/>
      <w:bookmarkStart w:id="22" w:name="_Toc9027"/>
      <w:r>
        <w:rPr>
          <w:rFonts w:hint="eastAsia" w:ascii="宋体" w:hAnsi="宋体"/>
          <w:sz w:val="28"/>
          <w:szCs w:val="28"/>
          <w:lang w:eastAsia="zh-CN"/>
        </w:rPr>
        <w:t>（</w:t>
      </w:r>
      <w:r>
        <w:rPr>
          <w:rFonts w:hint="eastAsia" w:ascii="宋体" w:hAnsi="宋体"/>
          <w:sz w:val="28"/>
          <w:szCs w:val="28"/>
          <w:lang w:val="en-US" w:eastAsia="zh-CN"/>
        </w:rPr>
        <w:t>二</w:t>
      </w:r>
      <w:r>
        <w:rPr>
          <w:rFonts w:hint="eastAsia" w:ascii="宋体" w:hAnsi="宋体"/>
          <w:sz w:val="28"/>
          <w:szCs w:val="28"/>
          <w:lang w:eastAsia="zh-CN"/>
        </w:rPr>
        <w:t>）</w:t>
      </w:r>
      <w:r>
        <w:rPr>
          <w:rFonts w:hint="eastAsia" w:ascii="宋体" w:hAnsi="宋体"/>
          <w:sz w:val="28"/>
          <w:szCs w:val="28"/>
        </w:rPr>
        <w:t>项目绩效目标</w:t>
      </w:r>
      <w:bookmarkEnd w:id="22"/>
    </w:p>
    <w:p w14:paraId="6194659D">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23" w:name="_Toc30011"/>
      <w:bookmarkStart w:id="24" w:name="_Toc24290"/>
      <w:bookmarkStart w:id="25" w:name="_Toc32626"/>
      <w:r>
        <w:rPr>
          <w:rFonts w:hint="eastAsia" w:ascii="宋体" w:hAnsi="宋体"/>
          <w:sz w:val="28"/>
          <w:szCs w:val="28"/>
          <w:lang w:val="en-US" w:eastAsia="zh-CN"/>
        </w:rPr>
        <w:t>1.总体目标</w:t>
      </w:r>
      <w:bookmarkEnd w:id="23"/>
      <w:bookmarkEnd w:id="24"/>
      <w:bookmarkEnd w:id="25"/>
    </w:p>
    <w:p w14:paraId="68DC879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highlight w:val="none"/>
          <w:lang w:val="en-US" w:eastAsia="zh-CN"/>
        </w:rPr>
      </w:pPr>
      <w:r>
        <w:rPr>
          <w:rFonts w:hint="eastAsia" w:ascii="宋体" w:hAnsi="宋体" w:eastAsia="仿宋_GB2312" w:cs="仿宋_GB2312"/>
          <w:spacing w:val="-8"/>
          <w:sz w:val="28"/>
          <w:szCs w:val="28"/>
          <w:highlight w:val="none"/>
          <w:lang w:val="en-US" w:eastAsia="zh-CN"/>
        </w:rPr>
        <w:t>本项目总体目标是完成全部工程建设，完成全部投资计划。</w:t>
      </w:r>
      <w:bookmarkStart w:id="26" w:name="_Toc27422"/>
      <w:bookmarkStart w:id="27" w:name="_Toc18369"/>
    </w:p>
    <w:p w14:paraId="3B48633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sz w:val="28"/>
          <w:szCs w:val="28"/>
          <w:highlight w:val="none"/>
          <w:lang w:val="en-US" w:eastAsia="zh-CN"/>
        </w:rPr>
      </w:pPr>
      <w:r>
        <w:rPr>
          <w:rFonts w:hint="eastAsia" w:ascii="宋体" w:hAnsi="宋体"/>
          <w:sz w:val="28"/>
          <w:szCs w:val="28"/>
          <w:lang w:val="en-US" w:eastAsia="zh-CN"/>
        </w:rPr>
        <w:t>2.年度目标</w:t>
      </w:r>
      <w:bookmarkEnd w:id="26"/>
      <w:bookmarkEnd w:id="27"/>
    </w:p>
    <w:p w14:paraId="1DFDDFB1">
      <w:pPr>
        <w:pStyle w:val="4"/>
        <w:keepNext w:val="0"/>
        <w:keepLines w:val="0"/>
        <w:pageBreakBefore w:val="0"/>
        <w:widowControl w:val="0"/>
        <w:kinsoku w:val="0"/>
        <w:wordWrap/>
        <w:overflowPunct/>
        <w:topLinePunct w:val="0"/>
        <w:autoSpaceDE w:val="0"/>
        <w:autoSpaceDN w:val="0"/>
        <w:bidi w:val="0"/>
        <w:adjustRightInd w:val="0"/>
        <w:snapToGrid w:val="0"/>
        <w:ind w:firstLine="560" w:firstLineChars="200"/>
        <w:jc w:val="both"/>
        <w:textAlignment w:val="baseline"/>
        <w:rPr>
          <w:rFonts w:hint="eastAsia" w:ascii="宋体" w:hAnsi="宋体"/>
          <w:sz w:val="28"/>
          <w:szCs w:val="28"/>
          <w:highlight w:val="none"/>
          <w:lang w:val="en-US" w:eastAsia="zh-CN"/>
        </w:rPr>
      </w:pPr>
      <w:bookmarkStart w:id="28" w:name="_bookmark5"/>
      <w:bookmarkEnd w:id="28"/>
      <w:bookmarkStart w:id="29" w:name="_bookmark4"/>
      <w:bookmarkEnd w:id="29"/>
      <w:bookmarkStart w:id="30" w:name="_Toc9407"/>
      <w:r>
        <w:rPr>
          <w:rFonts w:hint="eastAsia" w:ascii="宋体" w:hAnsi="宋体"/>
          <w:sz w:val="28"/>
          <w:szCs w:val="28"/>
          <w:highlight w:val="none"/>
          <w:lang w:val="en-US" w:eastAsia="zh-CN"/>
        </w:rPr>
        <w:t>目标1：投资规模达到项目总投资额的78%。</w:t>
      </w:r>
      <w:bookmarkEnd w:id="30"/>
    </w:p>
    <w:p w14:paraId="67217038">
      <w:pPr>
        <w:pStyle w:val="4"/>
        <w:keepNext w:val="0"/>
        <w:keepLines w:val="0"/>
        <w:pageBreakBefore w:val="0"/>
        <w:widowControl w:val="0"/>
        <w:kinsoku w:val="0"/>
        <w:wordWrap/>
        <w:overflowPunct/>
        <w:topLinePunct w:val="0"/>
        <w:autoSpaceDE w:val="0"/>
        <w:autoSpaceDN w:val="0"/>
        <w:bidi w:val="0"/>
        <w:adjustRightInd w:val="0"/>
        <w:snapToGrid w:val="0"/>
        <w:ind w:firstLine="560" w:firstLineChars="200"/>
        <w:jc w:val="both"/>
        <w:textAlignment w:val="baseline"/>
        <w:rPr>
          <w:rFonts w:hint="eastAsia" w:ascii="宋体" w:hAnsi="宋体"/>
          <w:sz w:val="28"/>
          <w:szCs w:val="28"/>
          <w:highlight w:val="none"/>
          <w:lang w:val="en-US" w:eastAsia="zh-CN"/>
        </w:rPr>
      </w:pPr>
      <w:bookmarkStart w:id="31" w:name="_Toc18010"/>
      <w:r>
        <w:rPr>
          <w:rFonts w:hint="eastAsia" w:ascii="宋体" w:hAnsi="宋体"/>
          <w:sz w:val="28"/>
          <w:szCs w:val="28"/>
          <w:highlight w:val="none"/>
          <w:lang w:val="en-US" w:eastAsia="zh-CN"/>
        </w:rPr>
        <w:t>目标2：完成工程项目建设进度的100%。</w:t>
      </w:r>
      <w:bookmarkEnd w:id="31"/>
    </w:p>
    <w:p w14:paraId="2162885C">
      <w:pPr>
        <w:pStyle w:val="2"/>
        <w:keepNext w:val="0"/>
        <w:keepLines w:val="0"/>
        <w:pageBreakBefore w:val="0"/>
        <w:widowControl w:val="0"/>
        <w:kinsoku w:val="0"/>
        <w:wordWrap/>
        <w:overflowPunct/>
        <w:topLinePunct w:val="0"/>
        <w:autoSpaceDE w:val="0"/>
        <w:autoSpaceDN w:val="0"/>
        <w:bidi w:val="0"/>
        <w:adjustRightInd w:val="0"/>
        <w:snapToGrid w:val="0"/>
        <w:ind w:firstLine="562" w:firstLineChars="200"/>
        <w:jc w:val="both"/>
        <w:textAlignment w:val="baseline"/>
        <w:rPr>
          <w:rFonts w:hint="eastAsia" w:ascii="宋体" w:hAnsi="宋体"/>
          <w:sz w:val="28"/>
          <w:szCs w:val="28"/>
        </w:rPr>
      </w:pPr>
      <w:bookmarkStart w:id="32" w:name="_Toc12225"/>
      <w:r>
        <w:rPr>
          <w:rFonts w:hint="eastAsia" w:ascii="宋体" w:hAnsi="宋体"/>
          <w:sz w:val="28"/>
          <w:szCs w:val="28"/>
        </w:rPr>
        <w:t>二、绩效评价工作开展情况</w:t>
      </w:r>
      <w:bookmarkEnd w:id="32"/>
    </w:p>
    <w:p w14:paraId="307828DA">
      <w:pPr>
        <w:pStyle w:val="3"/>
        <w:pageBreakBefore w:val="0"/>
        <w:wordWrap/>
        <w:overflowPunct/>
        <w:topLinePunct w:val="0"/>
        <w:bidi w:val="0"/>
        <w:ind w:firstLine="562" w:firstLineChars="200"/>
        <w:jc w:val="both"/>
        <w:textAlignment w:val="baseline"/>
        <w:rPr>
          <w:rFonts w:hint="eastAsia" w:ascii="宋体" w:hAnsi="宋体"/>
          <w:sz w:val="28"/>
          <w:szCs w:val="28"/>
        </w:rPr>
      </w:pPr>
      <w:bookmarkStart w:id="33" w:name="_Toc11477"/>
      <w:r>
        <w:rPr>
          <w:rFonts w:hint="eastAsia" w:ascii="宋体" w:hAnsi="宋体"/>
          <w:sz w:val="28"/>
          <w:szCs w:val="28"/>
          <w:lang w:eastAsia="zh-CN"/>
        </w:rPr>
        <w:t>（</w:t>
      </w:r>
      <w:r>
        <w:rPr>
          <w:rFonts w:hint="eastAsia" w:ascii="宋体" w:hAnsi="宋体"/>
          <w:sz w:val="28"/>
          <w:szCs w:val="28"/>
          <w:lang w:val="en-US" w:eastAsia="zh-CN"/>
        </w:rPr>
        <w:t>一</w:t>
      </w:r>
      <w:r>
        <w:rPr>
          <w:rFonts w:hint="eastAsia" w:ascii="宋体" w:hAnsi="宋体"/>
          <w:sz w:val="28"/>
          <w:szCs w:val="28"/>
          <w:lang w:eastAsia="zh-CN"/>
        </w:rPr>
        <w:t>）</w:t>
      </w:r>
      <w:r>
        <w:rPr>
          <w:rFonts w:hint="eastAsia" w:ascii="宋体" w:hAnsi="宋体"/>
          <w:sz w:val="28"/>
          <w:szCs w:val="28"/>
        </w:rPr>
        <w:t>绩效评价目的、对象和范围</w:t>
      </w:r>
      <w:bookmarkEnd w:id="33"/>
    </w:p>
    <w:p w14:paraId="04E1A340">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34" w:name="_Toc24049"/>
      <w:bookmarkStart w:id="35" w:name="_Toc20708"/>
      <w:bookmarkStart w:id="36" w:name="_Toc7076"/>
      <w:r>
        <w:rPr>
          <w:rFonts w:hint="eastAsia" w:ascii="宋体" w:hAnsi="宋体"/>
          <w:sz w:val="28"/>
          <w:szCs w:val="28"/>
          <w:lang w:val="en-US" w:eastAsia="zh-CN"/>
        </w:rPr>
        <w:t>1.评价目的</w:t>
      </w:r>
      <w:bookmarkEnd w:id="34"/>
      <w:bookmarkEnd w:id="35"/>
      <w:bookmarkEnd w:id="36"/>
    </w:p>
    <w:p w14:paraId="48E99BC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lang w:val="en-US" w:eastAsia="zh-CN"/>
        </w:rPr>
      </w:pPr>
      <w:r>
        <w:rPr>
          <w:rFonts w:hint="eastAsia" w:ascii="宋体" w:hAnsi="宋体" w:eastAsia="仿宋_GB2312" w:cs="仿宋_GB2312"/>
          <w:spacing w:val="-8"/>
          <w:sz w:val="28"/>
          <w:szCs w:val="28"/>
          <w:lang w:val="en-US" w:eastAsia="zh-CN"/>
        </w:rPr>
        <w:t>（1）通过对</w:t>
      </w:r>
      <w:r>
        <w:rPr>
          <w:rFonts w:hint="eastAsia" w:ascii="宋体" w:hAnsi="宋体" w:cs="仿宋_GB2312"/>
          <w:spacing w:val="-8"/>
          <w:sz w:val="28"/>
          <w:szCs w:val="28"/>
          <w:lang w:val="en-US" w:eastAsia="zh-CN"/>
        </w:rPr>
        <w:t>长春市宽城区医院异地建设</w:t>
      </w:r>
      <w:r>
        <w:rPr>
          <w:rFonts w:hint="eastAsia" w:ascii="宋体" w:hAnsi="宋体" w:eastAsia="仿宋_GB2312" w:cs="仿宋_GB2312"/>
          <w:spacing w:val="-8"/>
          <w:sz w:val="28"/>
          <w:szCs w:val="28"/>
          <w:lang w:val="en-US" w:eastAsia="zh-CN"/>
        </w:rPr>
        <w:t>项目的绩效评价，了解和掌握项目实施的具体情况，评价其项目资金安排的科学性、合理性、规范性和资金使用成效，及时总结项目管理经验，完善项目管理办法，提高项目管理水平和资金的使用效益。</w:t>
      </w:r>
    </w:p>
    <w:p w14:paraId="7591F45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lang w:val="en-US" w:eastAsia="zh-CN"/>
        </w:rPr>
      </w:pPr>
      <w:r>
        <w:rPr>
          <w:rFonts w:hint="eastAsia" w:ascii="宋体" w:hAnsi="宋体" w:eastAsia="仿宋_GB2312" w:cs="仿宋_GB2312"/>
          <w:spacing w:val="-8"/>
          <w:sz w:val="28"/>
          <w:szCs w:val="28"/>
          <w:lang w:val="en-US" w:eastAsia="zh-CN"/>
        </w:rPr>
        <w:t>（2）促使项目承担单位根据绩效评价中发现的问题，认真加以整改，及时调整和完善单位的工作计划和绩效目标并加强项目管理，提高管理水平，同时为项目后续资金投入、分配和管理提供决策依据。</w:t>
      </w:r>
    </w:p>
    <w:p w14:paraId="4CC278D5">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37" w:name="_Toc23340"/>
      <w:bookmarkStart w:id="38" w:name="_Toc29899"/>
      <w:bookmarkStart w:id="39" w:name="_Toc5375"/>
      <w:r>
        <w:rPr>
          <w:rFonts w:hint="eastAsia" w:ascii="宋体" w:hAnsi="宋体"/>
          <w:sz w:val="28"/>
          <w:szCs w:val="28"/>
          <w:lang w:val="en-US" w:eastAsia="zh-CN"/>
        </w:rPr>
        <w:t>2.评价对象</w:t>
      </w:r>
      <w:bookmarkEnd w:id="37"/>
      <w:bookmarkEnd w:id="38"/>
      <w:bookmarkEnd w:id="39"/>
    </w:p>
    <w:p w14:paraId="1B3D0C8C">
      <w:pPr>
        <w:keepNext w:val="0"/>
        <w:keepLines w:val="0"/>
        <w:pageBreakBefore w:val="0"/>
        <w:widowControl w:val="0"/>
        <w:wordWrap/>
        <w:overflowPunct/>
        <w:topLinePunct w:val="0"/>
        <w:bidi w:val="0"/>
        <w:spacing w:line="360" w:lineRule="auto"/>
        <w:ind w:left="0" w:right="0" w:firstLine="528" w:firstLineChars="200"/>
        <w:jc w:val="both"/>
        <w:textAlignment w:val="baseline"/>
        <w:rPr>
          <w:rFonts w:hint="eastAsia" w:ascii="宋体" w:hAnsi="宋体" w:eastAsia="仿宋_GB2312" w:cs="仿宋_GB2312"/>
          <w:spacing w:val="-8"/>
          <w:sz w:val="28"/>
          <w:szCs w:val="28"/>
          <w:highlight w:val="none"/>
          <w:lang w:val="en-US" w:eastAsia="zh-CN"/>
        </w:rPr>
      </w:pPr>
      <w:r>
        <w:rPr>
          <w:rFonts w:hint="eastAsia" w:ascii="宋体" w:hAnsi="宋体" w:cs="仿宋_GB2312"/>
          <w:spacing w:val="-8"/>
          <w:sz w:val="28"/>
          <w:szCs w:val="28"/>
          <w:highlight w:val="none"/>
          <w:lang w:val="en-US" w:eastAsia="zh-CN"/>
        </w:rPr>
        <w:t>本次绩效评价对象为长春市宽城区医院异地建设</w:t>
      </w:r>
      <w:r>
        <w:rPr>
          <w:rFonts w:hint="eastAsia" w:ascii="宋体" w:hAnsi="宋体" w:eastAsia="仿宋_GB2312" w:cs="仿宋_GB2312"/>
          <w:spacing w:val="-8"/>
          <w:sz w:val="28"/>
          <w:szCs w:val="28"/>
          <w:highlight w:val="none"/>
          <w:lang w:val="en-US" w:eastAsia="zh-CN"/>
        </w:rPr>
        <w:t>项目。</w:t>
      </w:r>
    </w:p>
    <w:p w14:paraId="0B6DA3ED">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40" w:name="_Toc1633"/>
      <w:bookmarkStart w:id="41" w:name="_Toc8645"/>
      <w:bookmarkStart w:id="42" w:name="_Toc10968"/>
      <w:r>
        <w:rPr>
          <w:rFonts w:hint="eastAsia" w:ascii="宋体" w:hAnsi="宋体"/>
          <w:sz w:val="28"/>
          <w:szCs w:val="28"/>
          <w:lang w:val="en-US" w:eastAsia="zh-CN"/>
        </w:rPr>
        <w:t>3.评价范围</w:t>
      </w:r>
      <w:bookmarkEnd w:id="40"/>
      <w:bookmarkEnd w:id="41"/>
      <w:bookmarkEnd w:id="42"/>
    </w:p>
    <w:p w14:paraId="76674A1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lang w:val="en-US" w:eastAsia="zh-CN"/>
        </w:rPr>
      </w:pPr>
      <w:r>
        <w:rPr>
          <w:rFonts w:hint="eastAsia" w:ascii="宋体" w:hAnsi="宋体" w:eastAsia="仿宋_GB2312" w:cs="仿宋_GB2312"/>
          <w:spacing w:val="-8"/>
          <w:sz w:val="28"/>
          <w:szCs w:val="28"/>
          <w:lang w:val="en-US" w:eastAsia="zh-CN"/>
        </w:rPr>
        <w:t>本次绩效评价将主要对长春市宽城区医院异地建设项目进行评价，涉及地区为</w:t>
      </w:r>
      <w:r>
        <w:rPr>
          <w:rFonts w:hint="eastAsia" w:ascii="宋体" w:hAnsi="宋体" w:cs="仿宋_GB2312"/>
          <w:spacing w:val="-8"/>
          <w:sz w:val="28"/>
          <w:szCs w:val="28"/>
          <w:lang w:val="en-US" w:eastAsia="zh-CN"/>
        </w:rPr>
        <w:t>长春宽城经济</w:t>
      </w:r>
      <w:r>
        <w:rPr>
          <w:rFonts w:hint="eastAsia" w:ascii="宋体" w:hAnsi="宋体" w:eastAsia="仿宋_GB2312" w:cs="仿宋_GB2312"/>
          <w:spacing w:val="-8"/>
          <w:sz w:val="28"/>
          <w:szCs w:val="28"/>
          <w:lang w:val="en-US" w:eastAsia="zh-CN"/>
        </w:rPr>
        <w:t>开发区。涉及具体项目1个，涉及的相关单位有：</w:t>
      </w:r>
      <w:r>
        <w:rPr>
          <w:rFonts w:hint="eastAsia" w:ascii="宋体" w:hAnsi="宋体" w:cs="仿宋_GB2312"/>
          <w:spacing w:val="-8"/>
          <w:sz w:val="28"/>
          <w:szCs w:val="28"/>
          <w:lang w:val="en-US" w:eastAsia="zh-CN"/>
        </w:rPr>
        <w:t>长春宽城经济</w:t>
      </w:r>
      <w:r>
        <w:rPr>
          <w:rFonts w:hint="eastAsia" w:ascii="宋体" w:hAnsi="宋体" w:eastAsia="仿宋_GB2312" w:cs="仿宋_GB2312"/>
          <w:spacing w:val="-8"/>
          <w:sz w:val="28"/>
          <w:szCs w:val="28"/>
          <w:lang w:val="en-US" w:eastAsia="zh-CN"/>
        </w:rPr>
        <w:t>开发区管理委员会、</w:t>
      </w:r>
      <w:r>
        <w:rPr>
          <w:rFonts w:hint="eastAsia" w:ascii="宋体" w:hAnsi="宋体" w:cs="仿宋_GB2312"/>
          <w:spacing w:val="-8"/>
          <w:sz w:val="28"/>
          <w:szCs w:val="28"/>
          <w:lang w:val="en-US" w:eastAsia="zh-CN"/>
        </w:rPr>
        <w:t>长春市宽城区医院</w:t>
      </w:r>
      <w:r>
        <w:rPr>
          <w:rFonts w:hint="eastAsia" w:ascii="宋体" w:hAnsi="宋体" w:eastAsia="仿宋_GB2312" w:cs="仿宋_GB2312"/>
          <w:spacing w:val="-8"/>
          <w:sz w:val="28"/>
          <w:szCs w:val="28"/>
          <w:lang w:val="en-US" w:eastAsia="zh-CN"/>
        </w:rPr>
        <w:t>等多个部门。</w:t>
      </w:r>
    </w:p>
    <w:p w14:paraId="28CD2FF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lang w:val="en-US" w:eastAsia="zh-CN"/>
        </w:rPr>
      </w:pPr>
      <w:r>
        <w:rPr>
          <w:rFonts w:hint="eastAsia" w:ascii="宋体" w:hAnsi="宋体" w:eastAsia="仿宋_GB2312" w:cs="仿宋_GB2312"/>
          <w:spacing w:val="-8"/>
          <w:sz w:val="28"/>
          <w:szCs w:val="28"/>
          <w:lang w:val="en-US" w:eastAsia="zh-CN"/>
        </w:rPr>
        <w:t>本次项目绩效评价主要围绕项目决策、资金管理、项目产出和效益等多个角度考察项目目标实现情况、预算执行情况和项目整体效果。重点评价专项债券资金的拨付、发放及使用环节。</w:t>
      </w:r>
    </w:p>
    <w:p w14:paraId="2A4EC783">
      <w:pPr>
        <w:pStyle w:val="3"/>
        <w:pageBreakBefore w:val="0"/>
        <w:numPr>
          <w:ilvl w:val="0"/>
          <w:numId w:val="1"/>
        </w:numPr>
        <w:wordWrap/>
        <w:overflowPunct/>
        <w:topLinePunct w:val="0"/>
        <w:bidi w:val="0"/>
        <w:ind w:firstLine="562" w:firstLineChars="200"/>
        <w:jc w:val="both"/>
        <w:textAlignment w:val="baseline"/>
        <w:rPr>
          <w:rFonts w:hint="eastAsia" w:ascii="宋体" w:hAnsi="宋体"/>
          <w:sz w:val="28"/>
          <w:szCs w:val="28"/>
          <w:lang w:val="en-US" w:eastAsia="zh-CN"/>
        </w:rPr>
      </w:pPr>
      <w:bookmarkStart w:id="43" w:name="_bookmark6"/>
      <w:bookmarkEnd w:id="43"/>
      <w:bookmarkStart w:id="44" w:name="_Toc19851"/>
      <w:r>
        <w:rPr>
          <w:rFonts w:hint="eastAsia" w:ascii="宋体" w:hAnsi="宋体"/>
          <w:sz w:val="28"/>
          <w:szCs w:val="28"/>
          <w:lang w:val="en-US" w:eastAsia="zh-CN"/>
        </w:rPr>
        <w:t>绩效评价依据</w:t>
      </w:r>
      <w:bookmarkEnd w:id="44"/>
    </w:p>
    <w:p w14:paraId="4997EA4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（1）《项目支出绩效评价管理办法》（财预【2020】10号）</w:t>
      </w:r>
    </w:p>
    <w:p w14:paraId="38A9624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（2）《吉林省项目支出绩效评价管理暂行办法》（吉财绩【2020】711号）</w:t>
      </w:r>
    </w:p>
    <w:p w14:paraId="301FE59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（3）《地方政府专项债券项目资金绩效管理办法》（财预【2021】61号）</w:t>
      </w:r>
    </w:p>
    <w:p w14:paraId="12885B0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（4）《吉林省地方政府专项债券项目绩效评价管理办法（试行）》（吉财债【2021】1044</w:t>
      </w:r>
      <w:r>
        <w:rPr>
          <w:rFonts w:hint="eastAsia" w:ascii="宋体" w:hAnsi="宋体" w:cs="仿宋_GB2312"/>
          <w:i w:val="0"/>
          <w:iCs w:val="0"/>
          <w:caps w:val="0"/>
          <w:color w:val="333333"/>
          <w:spacing w:val="6"/>
          <w:sz w:val="28"/>
          <w:szCs w:val="28"/>
          <w:highlight w:val="none"/>
          <w:shd w:val="clear" w:fill="FFFFFF"/>
          <w:lang w:val="en-US" w:eastAsia="zh-CN"/>
        </w:rPr>
        <w:t>）</w:t>
      </w:r>
    </w:p>
    <w:p w14:paraId="6EB63EA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（5）《吉林省项目支出预算绩效目标管理办法》（吉财绩【2021】1333号）</w:t>
      </w:r>
    </w:p>
    <w:p w14:paraId="5AF298F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（6）《国家发展改革委关于加强中央预算内投资项目概算调整管理的通知》（发改投资【2009】1550号）</w:t>
      </w:r>
    </w:p>
    <w:p w14:paraId="7991ADF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（7）《关于印发</w:t>
      </w:r>
      <w:r>
        <w:rPr>
          <w:rFonts w:hint="eastAsia" w:ascii="宋体" w:hAnsi="宋体" w:cs="仿宋_GB2312"/>
          <w:i w:val="0"/>
          <w:iCs w:val="0"/>
          <w:caps w:val="0"/>
          <w:color w:val="333333"/>
          <w:spacing w:val="6"/>
          <w:sz w:val="28"/>
          <w:szCs w:val="28"/>
          <w:highlight w:val="none"/>
          <w:shd w:val="clear" w:fill="FFFFFF"/>
          <w:lang w:val="en-US" w:eastAsia="zh-CN"/>
        </w:rPr>
        <w:t>〈</w:t>
      </w:r>
      <w:r>
        <w:rPr>
          <w:rFonts w:hint="eastAsia" w:ascii="宋体" w:hAnsi="宋体" w:eastAsia="仿宋_GB2312" w:cs="仿宋_GB2312"/>
          <w:i w:val="0"/>
          <w:iCs w:val="0"/>
          <w:caps w:val="0"/>
          <w:color w:val="333333"/>
          <w:spacing w:val="6"/>
          <w:sz w:val="28"/>
          <w:szCs w:val="28"/>
          <w:highlight w:val="none"/>
          <w:shd w:val="clear" w:fill="FFFFFF"/>
          <w:lang w:val="en-US" w:eastAsia="zh-CN"/>
        </w:rPr>
        <w:t>基本建设项目建设成本管理规定</w:t>
      </w:r>
      <w:r>
        <w:rPr>
          <w:rFonts w:hint="eastAsia" w:ascii="宋体" w:hAnsi="宋体" w:cs="仿宋_GB2312"/>
          <w:i w:val="0"/>
          <w:iCs w:val="0"/>
          <w:caps w:val="0"/>
          <w:color w:val="333333"/>
          <w:spacing w:val="6"/>
          <w:sz w:val="28"/>
          <w:szCs w:val="28"/>
          <w:highlight w:val="none"/>
          <w:shd w:val="clear" w:fill="FFFFFF"/>
          <w:lang w:val="en-US" w:eastAsia="zh-CN"/>
        </w:rPr>
        <w:t>〉</w:t>
      </w:r>
      <w:r>
        <w:rPr>
          <w:rFonts w:hint="eastAsia" w:ascii="宋体" w:hAnsi="宋体" w:eastAsia="仿宋_GB2312" w:cs="仿宋_GB2312"/>
          <w:i w:val="0"/>
          <w:iCs w:val="0"/>
          <w:caps w:val="0"/>
          <w:color w:val="333333"/>
          <w:spacing w:val="6"/>
          <w:sz w:val="28"/>
          <w:szCs w:val="28"/>
          <w:highlight w:val="none"/>
          <w:shd w:val="clear" w:fill="FFFFFF"/>
          <w:lang w:val="en-US" w:eastAsia="zh-CN"/>
        </w:rPr>
        <w:t>的通知》（财建【2016】504号）</w:t>
      </w:r>
    </w:p>
    <w:p w14:paraId="08A2039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（8）《中共中央国务院关于全面实施预算绩效管理的意见》（2018年9月1日）</w:t>
      </w:r>
    </w:p>
    <w:p w14:paraId="6C2B4AD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（9）《关于委托第三方机构参与预算绩效管理的指导意见》（财预【2021】6号）</w:t>
      </w:r>
    </w:p>
    <w:p w14:paraId="27A4EFF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（10）《长春市</w:t>
      </w:r>
      <w:r>
        <w:rPr>
          <w:rFonts w:hint="eastAsia" w:ascii="宋体" w:hAnsi="宋体" w:cs="仿宋_GB2312"/>
          <w:i w:val="0"/>
          <w:iCs w:val="0"/>
          <w:caps w:val="0"/>
          <w:color w:val="333333"/>
          <w:spacing w:val="6"/>
          <w:sz w:val="28"/>
          <w:szCs w:val="28"/>
          <w:highlight w:val="none"/>
          <w:shd w:val="clear" w:fill="FFFFFF"/>
          <w:lang w:val="en-US" w:eastAsia="zh-CN"/>
        </w:rPr>
        <w:t>宽城区医院异地建设</w:t>
      </w:r>
      <w:r>
        <w:rPr>
          <w:rFonts w:hint="eastAsia" w:ascii="宋体" w:hAnsi="宋体" w:eastAsia="仿宋_GB2312" w:cs="仿宋_GB2312"/>
          <w:i w:val="0"/>
          <w:iCs w:val="0"/>
          <w:caps w:val="0"/>
          <w:color w:val="333333"/>
          <w:spacing w:val="6"/>
          <w:sz w:val="28"/>
          <w:szCs w:val="28"/>
          <w:highlight w:val="none"/>
          <w:shd w:val="clear" w:fill="FFFFFF"/>
          <w:lang w:val="en-US" w:eastAsia="zh-CN"/>
        </w:rPr>
        <w:t>项目》的可行性研究报告</w:t>
      </w:r>
      <w:r>
        <w:rPr>
          <w:rFonts w:hint="eastAsia" w:ascii="宋体" w:hAnsi="宋体" w:cs="仿宋_GB2312"/>
          <w:i w:val="0"/>
          <w:iCs w:val="0"/>
          <w:caps w:val="0"/>
          <w:color w:val="333333"/>
          <w:spacing w:val="6"/>
          <w:sz w:val="28"/>
          <w:szCs w:val="28"/>
          <w:highlight w:val="none"/>
          <w:shd w:val="clear" w:fill="FFFFFF"/>
          <w:lang w:val="en-US" w:eastAsia="zh-CN"/>
        </w:rPr>
        <w:t>及批复、</w:t>
      </w:r>
      <w:r>
        <w:rPr>
          <w:rFonts w:hint="eastAsia" w:ascii="宋体" w:hAnsi="宋体" w:eastAsia="仿宋_GB2312" w:cs="仿宋_GB2312"/>
          <w:i w:val="0"/>
          <w:iCs w:val="0"/>
          <w:caps w:val="0"/>
          <w:color w:val="333333"/>
          <w:spacing w:val="6"/>
          <w:sz w:val="28"/>
          <w:szCs w:val="28"/>
          <w:highlight w:val="none"/>
          <w:shd w:val="clear" w:fill="FFFFFF"/>
          <w:lang w:val="en-US" w:eastAsia="zh-CN"/>
        </w:rPr>
        <w:t>项目收益与融资自求平衡方案等其他资料</w:t>
      </w:r>
    </w:p>
    <w:p w14:paraId="33FB328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（11）项目实施期的</w:t>
      </w:r>
      <w:r>
        <w:rPr>
          <w:rFonts w:hint="eastAsia" w:ascii="宋体" w:hAnsi="宋体" w:cs="仿宋_GB2312"/>
          <w:i w:val="0"/>
          <w:iCs w:val="0"/>
          <w:caps w:val="0"/>
          <w:color w:val="333333"/>
          <w:spacing w:val="6"/>
          <w:sz w:val="28"/>
          <w:szCs w:val="28"/>
          <w:highlight w:val="none"/>
          <w:shd w:val="clear" w:fill="FFFFFF"/>
          <w:lang w:val="en-US" w:eastAsia="zh-CN"/>
        </w:rPr>
        <w:t>会计凭证、</w:t>
      </w:r>
      <w:r>
        <w:rPr>
          <w:rFonts w:hint="eastAsia" w:ascii="宋体" w:hAnsi="宋体" w:eastAsia="仿宋_GB2312" w:cs="仿宋_GB2312"/>
          <w:i w:val="0"/>
          <w:iCs w:val="0"/>
          <w:caps w:val="0"/>
          <w:color w:val="333333"/>
          <w:spacing w:val="6"/>
          <w:sz w:val="28"/>
          <w:szCs w:val="28"/>
          <w:highlight w:val="none"/>
          <w:shd w:val="clear" w:fill="FFFFFF"/>
          <w:lang w:val="en-US" w:eastAsia="zh-CN"/>
        </w:rPr>
        <w:t>相关记录、现场资料等</w:t>
      </w:r>
    </w:p>
    <w:p w14:paraId="600E65E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default"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（1</w:t>
      </w:r>
      <w:r>
        <w:rPr>
          <w:rFonts w:hint="eastAsia" w:ascii="宋体" w:hAnsi="宋体" w:cs="仿宋_GB2312"/>
          <w:i w:val="0"/>
          <w:iCs w:val="0"/>
          <w:caps w:val="0"/>
          <w:color w:val="333333"/>
          <w:spacing w:val="6"/>
          <w:sz w:val="28"/>
          <w:szCs w:val="28"/>
          <w:highlight w:val="none"/>
          <w:shd w:val="clear" w:fill="FFFFFF"/>
          <w:lang w:val="en-US" w:eastAsia="zh-CN"/>
        </w:rPr>
        <w:t>2</w:t>
      </w:r>
      <w:r>
        <w:rPr>
          <w:rFonts w:hint="eastAsia" w:ascii="宋体" w:hAnsi="宋体" w:eastAsia="仿宋_GB2312" w:cs="仿宋_GB2312"/>
          <w:i w:val="0"/>
          <w:iCs w:val="0"/>
          <w:caps w:val="0"/>
          <w:color w:val="333333"/>
          <w:spacing w:val="6"/>
          <w:sz w:val="28"/>
          <w:szCs w:val="28"/>
          <w:highlight w:val="none"/>
          <w:shd w:val="clear" w:fill="FFFFFF"/>
          <w:lang w:val="en-US" w:eastAsia="zh-CN"/>
        </w:rPr>
        <w:t>）相关材料的说明</w:t>
      </w:r>
      <w:r>
        <w:rPr>
          <w:rFonts w:hint="eastAsia" w:ascii="宋体" w:hAnsi="宋体" w:cs="仿宋_GB2312"/>
          <w:i w:val="0"/>
          <w:iCs w:val="0"/>
          <w:caps w:val="0"/>
          <w:color w:val="333333"/>
          <w:spacing w:val="6"/>
          <w:sz w:val="28"/>
          <w:szCs w:val="28"/>
          <w:highlight w:val="none"/>
          <w:shd w:val="clear" w:fill="FFFFFF"/>
          <w:lang w:val="en-US" w:eastAsia="zh-CN"/>
        </w:rPr>
        <w:t>及其他项目资料</w:t>
      </w:r>
    </w:p>
    <w:p w14:paraId="29D51497">
      <w:pPr>
        <w:pStyle w:val="3"/>
        <w:pageBreakBefore w:val="0"/>
        <w:wordWrap/>
        <w:overflowPunct/>
        <w:topLinePunct w:val="0"/>
        <w:bidi w:val="0"/>
        <w:ind w:firstLine="562" w:firstLineChars="200"/>
        <w:jc w:val="both"/>
        <w:textAlignment w:val="baseline"/>
        <w:rPr>
          <w:rFonts w:hint="eastAsia" w:ascii="宋体" w:hAnsi="宋体"/>
          <w:sz w:val="28"/>
          <w:szCs w:val="28"/>
          <w:lang w:val="en-US" w:eastAsia="zh-CN"/>
        </w:rPr>
      </w:pPr>
      <w:bookmarkStart w:id="45" w:name="_Toc18767"/>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lang w:val="en-US" w:eastAsia="zh-CN"/>
        </w:rPr>
        <w:t>绩效评价原则</w:t>
      </w:r>
      <w:bookmarkEnd w:id="45"/>
    </w:p>
    <w:p w14:paraId="410565E4">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46" w:name="_Toc1889"/>
      <w:bookmarkStart w:id="47" w:name="_Toc14507"/>
      <w:bookmarkStart w:id="48" w:name="_Toc19161"/>
      <w:r>
        <w:rPr>
          <w:rFonts w:hint="eastAsia" w:ascii="宋体" w:hAnsi="宋体"/>
          <w:sz w:val="28"/>
          <w:szCs w:val="28"/>
          <w:lang w:val="en-US" w:eastAsia="zh-CN"/>
        </w:rPr>
        <w:t>1.科学规范</w:t>
      </w:r>
      <w:bookmarkEnd w:id="46"/>
      <w:bookmarkEnd w:id="47"/>
      <w:bookmarkEnd w:id="48"/>
    </w:p>
    <w:p w14:paraId="3FB3A6A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b w:val="0"/>
          <w:bCs/>
          <w:i w:val="0"/>
          <w:iCs w:val="0"/>
          <w:caps w:val="0"/>
          <w:color w:val="333333"/>
          <w:spacing w:val="6"/>
          <w:sz w:val="28"/>
          <w:szCs w:val="28"/>
          <w:highlight w:val="none"/>
          <w:shd w:val="clear" w:fill="FFFFFF"/>
          <w:lang w:val="en-US" w:eastAsia="zh-CN"/>
        </w:rPr>
      </w:pPr>
      <w:r>
        <w:rPr>
          <w:rFonts w:hint="eastAsia" w:ascii="宋体" w:hAnsi="宋体" w:eastAsia="仿宋_GB2312" w:cs="仿宋_GB2312"/>
          <w:b w:val="0"/>
          <w:bCs/>
          <w:i w:val="0"/>
          <w:iCs w:val="0"/>
          <w:caps w:val="0"/>
          <w:color w:val="333333"/>
          <w:spacing w:val="6"/>
          <w:sz w:val="28"/>
          <w:szCs w:val="28"/>
          <w:highlight w:val="none"/>
          <w:shd w:val="clear" w:fill="FFFFFF"/>
          <w:lang w:val="en-US" w:eastAsia="zh-CN"/>
        </w:rPr>
        <w:t>专项债券项目资金绩效实行全生命周期管理。坚持</w:t>
      </w:r>
      <w:r>
        <w:rPr>
          <w:rFonts w:hint="eastAsia" w:ascii="宋体" w:hAnsi="宋体" w:cs="仿宋_GB2312"/>
          <w:b w:val="0"/>
          <w:bCs/>
          <w:i w:val="0"/>
          <w:iCs w:val="0"/>
          <w:caps w:val="0"/>
          <w:color w:val="333333"/>
          <w:spacing w:val="6"/>
          <w:sz w:val="28"/>
          <w:szCs w:val="28"/>
          <w:highlight w:val="none"/>
          <w:shd w:val="clear" w:fill="FFFFFF"/>
          <w:lang w:val="en-US" w:eastAsia="zh-CN"/>
        </w:rPr>
        <w:t>“</w:t>
      </w:r>
      <w:r>
        <w:rPr>
          <w:rFonts w:hint="eastAsia" w:ascii="宋体" w:hAnsi="宋体" w:eastAsia="仿宋_GB2312" w:cs="仿宋_GB2312"/>
          <w:b w:val="0"/>
          <w:bCs/>
          <w:i w:val="0"/>
          <w:iCs w:val="0"/>
          <w:caps w:val="0"/>
          <w:color w:val="333333"/>
          <w:spacing w:val="6"/>
          <w:sz w:val="28"/>
          <w:szCs w:val="28"/>
          <w:highlight w:val="none"/>
          <w:shd w:val="clear" w:fill="FFFFFF"/>
          <w:lang w:val="en-US" w:eastAsia="zh-CN"/>
        </w:rPr>
        <w:t>举债必问效、无效必问责</w:t>
      </w:r>
      <w:r>
        <w:rPr>
          <w:rFonts w:hint="eastAsia" w:ascii="宋体" w:hAnsi="宋体" w:cs="仿宋_GB2312"/>
          <w:b w:val="0"/>
          <w:bCs/>
          <w:i w:val="0"/>
          <w:iCs w:val="0"/>
          <w:caps w:val="0"/>
          <w:color w:val="333333"/>
          <w:spacing w:val="6"/>
          <w:sz w:val="28"/>
          <w:szCs w:val="28"/>
          <w:highlight w:val="none"/>
          <w:shd w:val="clear" w:fill="FFFFFF"/>
          <w:lang w:val="en-US" w:eastAsia="zh-CN"/>
        </w:rPr>
        <w:t>”</w:t>
      </w:r>
      <w:r>
        <w:rPr>
          <w:rFonts w:hint="eastAsia" w:ascii="宋体" w:hAnsi="宋体" w:eastAsia="仿宋_GB2312" w:cs="仿宋_GB2312"/>
          <w:b w:val="0"/>
          <w:bCs/>
          <w:i w:val="0"/>
          <w:iCs w:val="0"/>
          <w:caps w:val="0"/>
          <w:color w:val="333333"/>
          <w:spacing w:val="6"/>
          <w:sz w:val="28"/>
          <w:szCs w:val="28"/>
          <w:highlight w:val="none"/>
          <w:shd w:val="clear" w:fill="FFFFFF"/>
          <w:lang w:val="en-US" w:eastAsia="zh-CN"/>
        </w:rPr>
        <w:t>，遵循项目支出绩效管理的基本要求，注重融资收益平衡与偿债风险。建立规范的工作流程和指标体系，推动绩效管理工作有序开展。</w:t>
      </w:r>
    </w:p>
    <w:p w14:paraId="0C00DA89">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49" w:name="_Toc32592"/>
      <w:bookmarkStart w:id="50" w:name="_Toc17372"/>
      <w:bookmarkStart w:id="51" w:name="_Toc7686"/>
      <w:r>
        <w:rPr>
          <w:rFonts w:hint="eastAsia" w:ascii="宋体" w:hAnsi="宋体"/>
          <w:sz w:val="28"/>
          <w:szCs w:val="28"/>
          <w:lang w:val="en-US" w:eastAsia="zh-CN"/>
        </w:rPr>
        <w:t>2.协同配合</w:t>
      </w:r>
      <w:bookmarkEnd w:id="49"/>
      <w:bookmarkEnd w:id="50"/>
      <w:bookmarkEnd w:id="51"/>
    </w:p>
    <w:p w14:paraId="4512408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b w:val="0"/>
          <w:bCs/>
          <w:i w:val="0"/>
          <w:iCs w:val="0"/>
          <w:caps w:val="0"/>
          <w:color w:val="333333"/>
          <w:spacing w:val="6"/>
          <w:sz w:val="28"/>
          <w:szCs w:val="28"/>
          <w:highlight w:val="none"/>
          <w:shd w:val="clear" w:fill="FFFFFF"/>
          <w:lang w:val="en-US" w:eastAsia="zh-CN"/>
        </w:rPr>
      </w:pPr>
      <w:r>
        <w:rPr>
          <w:rFonts w:hint="eastAsia" w:ascii="宋体" w:hAnsi="宋体" w:eastAsia="仿宋_GB2312" w:cs="仿宋_GB2312"/>
          <w:b w:val="0"/>
          <w:bCs/>
          <w:i w:val="0"/>
          <w:iCs w:val="0"/>
          <w:caps w:val="0"/>
          <w:color w:val="333333"/>
          <w:spacing w:val="6"/>
          <w:sz w:val="28"/>
          <w:szCs w:val="28"/>
          <w:highlight w:val="none"/>
          <w:shd w:val="clear" w:fill="FFFFFF"/>
          <w:lang w:val="en-US" w:eastAsia="zh-CN"/>
        </w:rPr>
        <w:t>各级财政部门牵头组织专项债券项目资金绩效管理工作，督促指导项目主管部门和项目单位具体实施各项管理工作。上级财政部门加强工作指导和检查。</w:t>
      </w:r>
    </w:p>
    <w:p w14:paraId="71E4A661">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52" w:name="_Toc28493"/>
      <w:bookmarkStart w:id="53" w:name="_Toc30498"/>
      <w:bookmarkStart w:id="54" w:name="_Toc20206"/>
      <w:r>
        <w:rPr>
          <w:rFonts w:hint="eastAsia" w:ascii="宋体" w:hAnsi="宋体"/>
          <w:sz w:val="28"/>
          <w:szCs w:val="28"/>
          <w:lang w:val="en-US" w:eastAsia="zh-CN"/>
        </w:rPr>
        <w:t>3.公开透明</w:t>
      </w:r>
      <w:bookmarkEnd w:id="52"/>
      <w:bookmarkEnd w:id="53"/>
      <w:bookmarkEnd w:id="54"/>
    </w:p>
    <w:p w14:paraId="248AE96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b w:val="0"/>
          <w:bCs/>
          <w:i w:val="0"/>
          <w:iCs w:val="0"/>
          <w:caps w:val="0"/>
          <w:color w:val="333333"/>
          <w:spacing w:val="6"/>
          <w:sz w:val="28"/>
          <w:szCs w:val="28"/>
          <w:highlight w:val="none"/>
          <w:shd w:val="clear" w:fill="FFFFFF"/>
          <w:lang w:val="en-US" w:eastAsia="zh-CN"/>
        </w:rPr>
      </w:pPr>
      <w:r>
        <w:rPr>
          <w:rFonts w:hint="eastAsia" w:ascii="宋体" w:hAnsi="宋体" w:eastAsia="仿宋_GB2312" w:cs="仿宋_GB2312"/>
          <w:b w:val="0"/>
          <w:bCs/>
          <w:i w:val="0"/>
          <w:iCs w:val="0"/>
          <w:caps w:val="0"/>
          <w:color w:val="333333"/>
          <w:spacing w:val="6"/>
          <w:sz w:val="28"/>
          <w:szCs w:val="28"/>
          <w:highlight w:val="none"/>
          <w:shd w:val="clear" w:fill="FFFFFF"/>
          <w:lang w:val="en-US" w:eastAsia="zh-CN"/>
        </w:rPr>
        <w:t>绩效信息是专项债券项目信息的重要组成部分，应当依法依规公开，自觉接受社会监督，通过公开推动提高专项资金使用绩效。</w:t>
      </w:r>
    </w:p>
    <w:p w14:paraId="5D2DB62E">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55" w:name="_Toc19140"/>
      <w:bookmarkStart w:id="56" w:name="_Toc20116"/>
      <w:bookmarkStart w:id="57" w:name="_Toc21208"/>
      <w:r>
        <w:rPr>
          <w:rFonts w:hint="eastAsia" w:ascii="宋体" w:hAnsi="宋体"/>
          <w:sz w:val="28"/>
          <w:szCs w:val="28"/>
          <w:lang w:val="en-US" w:eastAsia="zh-CN"/>
        </w:rPr>
        <w:t>4.强化运用</w:t>
      </w:r>
      <w:bookmarkEnd w:id="55"/>
      <w:bookmarkEnd w:id="56"/>
      <w:bookmarkEnd w:id="57"/>
    </w:p>
    <w:p w14:paraId="3E6B4A5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b w:val="0"/>
          <w:bCs/>
          <w:i w:val="0"/>
          <w:iCs w:val="0"/>
          <w:caps w:val="0"/>
          <w:color w:val="333333"/>
          <w:spacing w:val="6"/>
          <w:sz w:val="28"/>
          <w:szCs w:val="28"/>
          <w:highlight w:val="none"/>
          <w:shd w:val="clear" w:fill="FFFFFF"/>
          <w:lang w:val="en-US" w:eastAsia="zh-CN"/>
        </w:rPr>
      </w:pPr>
      <w:r>
        <w:rPr>
          <w:rFonts w:hint="eastAsia" w:ascii="宋体" w:hAnsi="宋体" w:eastAsia="仿宋_GB2312" w:cs="仿宋_GB2312"/>
          <w:b w:val="0"/>
          <w:bCs/>
          <w:i w:val="0"/>
          <w:iCs w:val="0"/>
          <w:caps w:val="0"/>
          <w:color w:val="333333"/>
          <w:spacing w:val="6"/>
          <w:sz w:val="28"/>
          <w:szCs w:val="28"/>
          <w:highlight w:val="none"/>
          <w:shd w:val="clear" w:fill="FFFFFF"/>
          <w:lang w:val="en-US" w:eastAsia="zh-CN"/>
        </w:rPr>
        <w:t>突出绩效管理结果的激励约束作用，将专项债券项目资金绩效管理结果作为专项债券额度分配的重要测算因素，并与有关管理措施和政策试点等挂钩。</w:t>
      </w:r>
    </w:p>
    <w:p w14:paraId="740F7494">
      <w:pPr>
        <w:pStyle w:val="3"/>
        <w:pageBreakBefore w:val="0"/>
        <w:wordWrap/>
        <w:overflowPunct/>
        <w:topLinePunct w:val="0"/>
        <w:bidi w:val="0"/>
        <w:ind w:firstLine="562" w:firstLineChars="200"/>
        <w:jc w:val="both"/>
        <w:textAlignment w:val="baseline"/>
        <w:rPr>
          <w:rFonts w:hint="eastAsia" w:ascii="宋体" w:hAnsi="宋体"/>
          <w:sz w:val="28"/>
          <w:szCs w:val="28"/>
        </w:rPr>
      </w:pPr>
      <w:bookmarkStart w:id="58" w:name="_Toc25848"/>
      <w:r>
        <w:rPr>
          <w:rFonts w:hint="eastAsia" w:ascii="宋体" w:hAnsi="宋体"/>
          <w:sz w:val="28"/>
          <w:szCs w:val="28"/>
          <w:lang w:eastAsia="zh-CN"/>
        </w:rPr>
        <w:t>（</w:t>
      </w:r>
      <w:r>
        <w:rPr>
          <w:rFonts w:hint="eastAsia" w:ascii="宋体" w:hAnsi="宋体"/>
          <w:sz w:val="28"/>
          <w:szCs w:val="28"/>
          <w:lang w:val="en-US" w:eastAsia="zh-CN"/>
        </w:rPr>
        <w:t>四</w:t>
      </w:r>
      <w:r>
        <w:rPr>
          <w:rFonts w:hint="eastAsia" w:ascii="宋体" w:hAnsi="宋体"/>
          <w:sz w:val="28"/>
          <w:szCs w:val="28"/>
          <w:lang w:eastAsia="zh-CN"/>
        </w:rPr>
        <w:t>）</w:t>
      </w:r>
      <w:r>
        <w:rPr>
          <w:rFonts w:hint="eastAsia" w:ascii="宋体" w:hAnsi="宋体"/>
          <w:sz w:val="28"/>
          <w:szCs w:val="28"/>
        </w:rPr>
        <w:t>评价指标体系、评价方法、评价标准</w:t>
      </w:r>
      <w:bookmarkEnd w:id="58"/>
    </w:p>
    <w:p w14:paraId="5FC4C77F">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59" w:name="_Toc15531"/>
      <w:bookmarkStart w:id="60" w:name="_Toc15226"/>
      <w:bookmarkStart w:id="61" w:name="_Toc2465"/>
      <w:r>
        <w:rPr>
          <w:rFonts w:hint="eastAsia" w:ascii="宋体" w:hAnsi="宋体"/>
          <w:sz w:val="28"/>
          <w:szCs w:val="28"/>
          <w:lang w:val="en-US" w:eastAsia="zh-CN"/>
        </w:rPr>
        <w:t>1.评价指标体系</w:t>
      </w:r>
      <w:bookmarkEnd w:id="59"/>
      <w:bookmarkEnd w:id="60"/>
      <w:bookmarkEnd w:id="61"/>
    </w:p>
    <w:p w14:paraId="6FA4553C">
      <w:pPr>
        <w:keepNext w:val="0"/>
        <w:keepLines w:val="0"/>
        <w:pageBreakBefore w:val="0"/>
        <w:widowControl w:val="0"/>
        <w:wordWrap/>
        <w:overflowPunct/>
        <w:topLinePunct w:val="0"/>
        <w:bidi w:val="0"/>
        <w:spacing w:line="360" w:lineRule="auto"/>
        <w:ind w:left="0" w:right="0" w:firstLine="528" w:firstLineChars="200"/>
        <w:jc w:val="both"/>
        <w:textAlignment w:val="baseline"/>
        <w:rPr>
          <w:rFonts w:hint="eastAsia" w:ascii="宋体" w:hAnsi="宋体" w:eastAsia="仿宋_GB2312" w:cs="仿宋_GB2312"/>
          <w:b w:val="0"/>
          <w:bCs/>
          <w:spacing w:val="-8"/>
          <w:sz w:val="28"/>
          <w:szCs w:val="28"/>
          <w:lang w:val="en-US" w:eastAsia="zh-CN"/>
        </w:rPr>
      </w:pPr>
      <w:r>
        <w:rPr>
          <w:rFonts w:hint="eastAsia" w:ascii="宋体" w:hAnsi="宋体" w:eastAsia="仿宋_GB2312" w:cs="仿宋_GB2312"/>
          <w:b w:val="0"/>
          <w:bCs/>
          <w:spacing w:val="-8"/>
          <w:sz w:val="28"/>
          <w:szCs w:val="28"/>
          <w:lang w:val="en-US" w:eastAsia="zh-CN"/>
        </w:rPr>
        <w:t>绩效评价指标体系包括项目决策、项目管理、项目产出、项目效益四类指标，共计100分。</w:t>
      </w:r>
    </w:p>
    <w:p w14:paraId="21BB2155">
      <w:pPr>
        <w:keepNext w:val="0"/>
        <w:keepLines w:val="0"/>
        <w:pageBreakBefore w:val="0"/>
        <w:widowControl w:val="0"/>
        <w:wordWrap/>
        <w:overflowPunct/>
        <w:topLinePunct w:val="0"/>
        <w:bidi w:val="0"/>
        <w:spacing w:line="360" w:lineRule="auto"/>
        <w:ind w:left="0" w:right="0" w:firstLine="528" w:firstLineChars="200"/>
        <w:jc w:val="both"/>
        <w:textAlignment w:val="baseline"/>
        <w:rPr>
          <w:rFonts w:ascii="宋体" w:hAnsi="宋体"/>
          <w:sz w:val="28"/>
          <w:szCs w:val="28"/>
        </w:rPr>
      </w:pPr>
      <w:r>
        <w:rPr>
          <w:rFonts w:hint="eastAsia" w:ascii="宋体" w:hAnsi="宋体" w:eastAsia="仿宋_GB2312" w:cs="仿宋_GB2312"/>
          <w:spacing w:val="-8"/>
          <w:sz w:val="28"/>
          <w:szCs w:val="28"/>
          <w:lang w:val="en-US" w:eastAsia="zh-CN"/>
        </w:rPr>
        <w:t>具体绩效指标体系如表1所示。</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5427"/>
        <w:gridCol w:w="1772"/>
      </w:tblGrid>
      <w:tr w14:paraId="6036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blHeader/>
        </w:trPr>
        <w:tc>
          <w:tcPr>
            <w:tcW w:w="0" w:type="auto"/>
            <w:gridSpan w:val="3"/>
            <w:tcBorders>
              <w:top w:val="nil"/>
              <w:left w:val="nil"/>
              <w:bottom w:val="single" w:color="000000" w:sz="8" w:space="0"/>
              <w:right w:val="nil"/>
            </w:tcBorders>
            <w:shd w:val="clear" w:color="auto" w:fill="auto"/>
            <w:vAlign w:val="bottom"/>
          </w:tcPr>
          <w:p w14:paraId="428DA42D">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bookmarkStart w:id="62" w:name="_Toc12450"/>
            <w:bookmarkStart w:id="63" w:name="_Toc11354"/>
            <w:bookmarkStart w:id="64" w:name="_Toc2869"/>
            <w:r>
              <w:rPr>
                <w:rFonts w:hint="eastAsia" w:ascii="宋体" w:hAnsi="宋体" w:eastAsia="宋体" w:cs="宋体"/>
                <w:b/>
                <w:bCs/>
                <w:i w:val="0"/>
                <w:iCs w:val="0"/>
                <w:snapToGrid w:val="0"/>
                <w:color w:val="000000"/>
                <w:kern w:val="0"/>
                <w:sz w:val="18"/>
                <w:szCs w:val="18"/>
                <w:u w:val="none"/>
                <w:lang w:val="en-US" w:eastAsia="zh-CN" w:bidi="ar"/>
              </w:rPr>
              <w:t>表1－绩效指标体系</w:t>
            </w:r>
          </w:p>
        </w:tc>
      </w:tr>
      <w:tr w14:paraId="098C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767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ascii="Arial Narrow" w:hAnsi="Arial Narrow" w:eastAsia="Arial Narrow" w:cs="Arial Narrow"/>
                <w:b/>
                <w:bCs/>
                <w:i w:val="0"/>
                <w:iCs w:val="0"/>
                <w:color w:val="000000"/>
                <w:sz w:val="20"/>
                <w:szCs w:val="20"/>
                <w:u w:val="none"/>
              </w:rPr>
            </w:pPr>
            <w:r>
              <w:rPr>
                <w:rStyle w:val="22"/>
                <w:snapToGrid w:val="0"/>
                <w:color w:val="000000"/>
                <w:lang w:val="en-US" w:eastAsia="zh-CN" w:bidi="ar"/>
              </w:rPr>
              <w:t>一级指标</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298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b/>
                <w:bCs/>
                <w:i w:val="0"/>
                <w:iCs w:val="0"/>
                <w:color w:val="000000"/>
                <w:sz w:val="20"/>
                <w:szCs w:val="20"/>
                <w:u w:val="none"/>
              </w:rPr>
            </w:pPr>
            <w:r>
              <w:rPr>
                <w:rStyle w:val="22"/>
                <w:snapToGrid w:val="0"/>
                <w:color w:val="000000"/>
                <w:lang w:val="en-US" w:eastAsia="zh-CN" w:bidi="ar"/>
              </w:rPr>
              <w:t>二级指标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924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b/>
                <w:bCs/>
                <w:i w:val="0"/>
                <w:iCs w:val="0"/>
                <w:color w:val="000000"/>
                <w:sz w:val="20"/>
                <w:szCs w:val="20"/>
                <w:u w:val="none"/>
              </w:rPr>
            </w:pPr>
            <w:r>
              <w:rPr>
                <w:rStyle w:val="22"/>
                <w:snapToGrid w:val="0"/>
                <w:color w:val="000000"/>
                <w:lang w:val="en-US" w:eastAsia="zh-CN" w:bidi="ar"/>
              </w:rPr>
              <w:t>三级指标</w:t>
            </w:r>
          </w:p>
        </w:tc>
      </w:tr>
      <w:tr w14:paraId="3041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EE6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决策</w:t>
            </w:r>
          </w:p>
        </w:tc>
        <w:tc>
          <w:tcPr>
            <w:tcW w:w="5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8E49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新增地方政府专项债券项目申报的政策依据与程序规范性</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27F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立项依据充分性</w:t>
            </w:r>
          </w:p>
        </w:tc>
      </w:tr>
      <w:tr w14:paraId="46DB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1F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18"/>
                <w:szCs w:val="18"/>
                <w:u w:val="none"/>
              </w:rPr>
            </w:pPr>
          </w:p>
        </w:tc>
        <w:tc>
          <w:tcPr>
            <w:tcW w:w="5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B4D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Arial Narrow" w:hAnsi="Arial Narrow" w:eastAsia="Arial Narrow" w:cs="Arial Narrow"/>
                <w:i w:val="0"/>
                <w:iCs w:val="0"/>
                <w:color w:val="000000"/>
                <w:sz w:val="18"/>
                <w:szCs w:val="18"/>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4C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立项程序规范性</w:t>
            </w:r>
          </w:p>
        </w:tc>
      </w:tr>
      <w:tr w14:paraId="70F5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D7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18"/>
                <w:szCs w:val="18"/>
                <w:u w:val="none"/>
              </w:rPr>
            </w:pPr>
          </w:p>
        </w:tc>
        <w:tc>
          <w:tcPr>
            <w:tcW w:w="5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28BD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新增地方政府专项债券绩效目标设定的合理性与指标明确性</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180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绩效目标合理性</w:t>
            </w:r>
          </w:p>
        </w:tc>
      </w:tr>
      <w:tr w14:paraId="4A4E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19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18"/>
                <w:szCs w:val="18"/>
                <w:u w:val="none"/>
              </w:rPr>
            </w:pPr>
          </w:p>
        </w:tc>
        <w:tc>
          <w:tcPr>
            <w:tcW w:w="5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4A3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Arial Narrow" w:hAnsi="Arial Narrow" w:eastAsia="Arial Narrow" w:cs="Arial Narrow"/>
                <w:i w:val="0"/>
                <w:iCs w:val="0"/>
                <w:color w:val="000000"/>
                <w:sz w:val="18"/>
                <w:szCs w:val="18"/>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C2C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绩效指标明确性</w:t>
            </w:r>
          </w:p>
        </w:tc>
      </w:tr>
      <w:tr w14:paraId="607A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5A7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18"/>
                <w:szCs w:val="18"/>
                <w:u w:val="none"/>
              </w:rPr>
            </w:pPr>
          </w:p>
        </w:tc>
        <w:tc>
          <w:tcPr>
            <w:tcW w:w="5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EC8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编制新增地方政府专项债券资金平衡方案科学性和资金分配的合理性</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52B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平衡方案科学性</w:t>
            </w:r>
          </w:p>
        </w:tc>
      </w:tr>
      <w:tr w14:paraId="313D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DB6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18"/>
                <w:szCs w:val="18"/>
                <w:u w:val="none"/>
              </w:rPr>
            </w:pPr>
          </w:p>
        </w:tc>
        <w:tc>
          <w:tcPr>
            <w:tcW w:w="5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F496">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Arial Narrow" w:hAnsi="Arial Narrow" w:eastAsia="Arial Narrow" w:cs="Arial Narrow"/>
                <w:i w:val="0"/>
                <w:iCs w:val="0"/>
                <w:color w:val="000000"/>
                <w:sz w:val="18"/>
                <w:szCs w:val="18"/>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2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资金分配的合理性</w:t>
            </w:r>
          </w:p>
        </w:tc>
      </w:tr>
      <w:tr w14:paraId="075A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159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管理</w:t>
            </w:r>
          </w:p>
        </w:tc>
        <w:tc>
          <w:tcPr>
            <w:tcW w:w="5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ED4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新增地方政府专项债券资金管理制度健全性及组织实施有效性</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C16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管理制度健全性</w:t>
            </w:r>
          </w:p>
        </w:tc>
      </w:tr>
      <w:tr w14:paraId="1130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71BA">
            <w:pPr>
              <w:jc w:val="center"/>
              <w:rPr>
                <w:rFonts w:hint="eastAsia" w:ascii="宋体" w:hAnsi="宋体" w:eastAsia="宋体" w:cs="宋体"/>
                <w:i w:val="0"/>
                <w:iCs w:val="0"/>
                <w:color w:val="000000"/>
                <w:sz w:val="18"/>
                <w:szCs w:val="18"/>
                <w:u w:val="none"/>
              </w:rPr>
            </w:pPr>
          </w:p>
        </w:tc>
        <w:tc>
          <w:tcPr>
            <w:tcW w:w="5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3753">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Arial Narrow" w:hAnsi="Arial Narrow" w:eastAsia="Arial Narrow" w:cs="Arial Narrow"/>
                <w:i w:val="0"/>
                <w:iCs w:val="0"/>
                <w:color w:val="000000"/>
                <w:sz w:val="18"/>
                <w:szCs w:val="18"/>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468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组织实施有效性</w:t>
            </w:r>
          </w:p>
        </w:tc>
      </w:tr>
      <w:tr w14:paraId="7AE3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2F68">
            <w:pPr>
              <w:jc w:val="center"/>
              <w:rPr>
                <w:rFonts w:hint="eastAsia" w:ascii="宋体" w:hAnsi="宋体" w:eastAsia="宋体" w:cs="宋体"/>
                <w:i w:val="0"/>
                <w:iCs w:val="0"/>
                <w:color w:val="000000"/>
                <w:sz w:val="18"/>
                <w:szCs w:val="18"/>
                <w:u w:val="none"/>
              </w:rPr>
            </w:pPr>
          </w:p>
        </w:tc>
        <w:tc>
          <w:tcPr>
            <w:tcW w:w="5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5DE2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新增地方政府专项债券资金使用情况</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03B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资金使用合规性</w:t>
            </w:r>
          </w:p>
        </w:tc>
      </w:tr>
      <w:tr w14:paraId="05E8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4F3C">
            <w:pPr>
              <w:jc w:val="center"/>
              <w:rPr>
                <w:rFonts w:hint="eastAsia" w:ascii="宋体" w:hAnsi="宋体" w:eastAsia="宋体" w:cs="宋体"/>
                <w:i w:val="0"/>
                <w:iCs w:val="0"/>
                <w:color w:val="000000"/>
                <w:sz w:val="18"/>
                <w:szCs w:val="18"/>
                <w:u w:val="none"/>
              </w:rPr>
            </w:pPr>
          </w:p>
        </w:tc>
        <w:tc>
          <w:tcPr>
            <w:tcW w:w="5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E44D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Arial Narrow" w:hAnsi="Arial Narrow" w:eastAsia="Arial Narrow" w:cs="Arial Narrow"/>
                <w:i w:val="0"/>
                <w:iCs w:val="0"/>
                <w:color w:val="000000"/>
                <w:sz w:val="18"/>
                <w:szCs w:val="18"/>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9B3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资金到位率</w:t>
            </w:r>
          </w:p>
        </w:tc>
      </w:tr>
      <w:tr w14:paraId="442B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B10A">
            <w:pPr>
              <w:jc w:val="center"/>
              <w:rPr>
                <w:rFonts w:hint="eastAsia" w:ascii="宋体" w:hAnsi="宋体" w:eastAsia="宋体" w:cs="宋体"/>
                <w:i w:val="0"/>
                <w:iCs w:val="0"/>
                <w:color w:val="000000"/>
                <w:sz w:val="18"/>
                <w:szCs w:val="18"/>
                <w:u w:val="none"/>
              </w:rPr>
            </w:pPr>
          </w:p>
        </w:tc>
        <w:tc>
          <w:tcPr>
            <w:tcW w:w="5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BDC2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hint="default" w:ascii="Arial Narrow" w:hAnsi="Arial Narrow" w:eastAsia="Arial Narrow" w:cs="Arial Narrow"/>
                <w:i w:val="0"/>
                <w:iCs w:val="0"/>
                <w:color w:val="000000"/>
                <w:sz w:val="18"/>
                <w:szCs w:val="18"/>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7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rFonts w:hint="eastAsia"/>
                <w:snapToGrid w:val="0"/>
                <w:color w:val="000000"/>
                <w:lang w:val="en-US" w:eastAsia="zh-CN" w:bidi="ar"/>
              </w:rPr>
              <w:t>预算</w:t>
            </w:r>
            <w:r>
              <w:rPr>
                <w:rStyle w:val="23"/>
                <w:snapToGrid w:val="0"/>
                <w:color w:val="000000"/>
                <w:lang w:val="en-US" w:eastAsia="zh-CN" w:bidi="ar"/>
              </w:rPr>
              <w:t>执行率</w:t>
            </w:r>
          </w:p>
        </w:tc>
      </w:tr>
      <w:tr w14:paraId="7E76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FBC4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产出</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49F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产出数量</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727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工程完工度</w:t>
            </w:r>
          </w:p>
        </w:tc>
      </w:tr>
      <w:tr w14:paraId="1007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D1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18"/>
                <w:szCs w:val="18"/>
                <w:u w:val="none"/>
              </w:rPr>
            </w:pP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052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产出质量</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DC6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质量达标</w:t>
            </w:r>
          </w:p>
        </w:tc>
      </w:tr>
      <w:tr w14:paraId="1A6D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D5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18"/>
                <w:szCs w:val="18"/>
                <w:u w:val="none"/>
              </w:rPr>
            </w:pP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1BD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产出时效</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C93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开工竣工及时率</w:t>
            </w:r>
          </w:p>
        </w:tc>
      </w:tr>
      <w:tr w14:paraId="6787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E3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18"/>
                <w:szCs w:val="18"/>
                <w:u w:val="none"/>
              </w:rPr>
            </w:pP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4EA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产出成本</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98D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成本使用</w:t>
            </w:r>
          </w:p>
        </w:tc>
      </w:tr>
      <w:tr w14:paraId="429D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C210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效益</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8F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社会效益</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DC0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社会影响度</w:t>
            </w:r>
          </w:p>
        </w:tc>
      </w:tr>
      <w:tr w14:paraId="3497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9CA6D3">
            <w:pPr>
              <w:jc w:val="center"/>
              <w:rPr>
                <w:rFonts w:hint="eastAsia" w:ascii="宋体" w:hAnsi="宋体" w:eastAsia="宋体" w:cs="宋体"/>
                <w:i w:val="0"/>
                <w:iCs w:val="0"/>
                <w:color w:val="000000"/>
                <w:sz w:val="18"/>
                <w:szCs w:val="18"/>
                <w:u w:val="none"/>
              </w:rPr>
            </w:pP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09E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经济效益</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990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经济带动</w:t>
            </w:r>
          </w:p>
        </w:tc>
      </w:tr>
      <w:tr w14:paraId="79B0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7209332">
            <w:pPr>
              <w:jc w:val="center"/>
              <w:rPr>
                <w:rFonts w:hint="eastAsia" w:ascii="宋体" w:hAnsi="宋体" w:eastAsia="宋体" w:cs="宋体"/>
                <w:i w:val="0"/>
                <w:iCs w:val="0"/>
                <w:color w:val="000000"/>
                <w:sz w:val="18"/>
                <w:szCs w:val="18"/>
                <w:u w:val="none"/>
              </w:rPr>
            </w:pP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51A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生态效益</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D09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生态环保</w:t>
            </w:r>
          </w:p>
        </w:tc>
      </w:tr>
      <w:tr w14:paraId="1388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E870D9">
            <w:pPr>
              <w:jc w:val="center"/>
              <w:rPr>
                <w:rFonts w:hint="eastAsia" w:ascii="宋体" w:hAnsi="宋体" w:eastAsia="宋体" w:cs="宋体"/>
                <w:i w:val="0"/>
                <w:iCs w:val="0"/>
                <w:color w:val="000000"/>
                <w:sz w:val="18"/>
                <w:szCs w:val="18"/>
                <w:u w:val="none"/>
              </w:rPr>
            </w:pP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0A3C">
            <w:pPr>
              <w:keepNext w:val="0"/>
              <w:keepLines w:val="0"/>
              <w:pageBreakBefore w:val="0"/>
              <w:widowControl/>
              <w:suppressLineNumbers w:val="0"/>
              <w:tabs>
                <w:tab w:val="center" w:pos="2665"/>
                <w:tab w:val="right" w:pos="5211"/>
              </w:tabs>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sz w:val="18"/>
                <w:szCs w:val="18"/>
                <w:u w:val="none"/>
              </w:rPr>
              <w:t>可持续影响</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55E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可持续运营能力</w:t>
            </w:r>
          </w:p>
        </w:tc>
      </w:tr>
      <w:tr w14:paraId="4B34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C357E30">
            <w:pPr>
              <w:jc w:val="center"/>
              <w:rPr>
                <w:rFonts w:hint="eastAsia" w:ascii="宋体" w:hAnsi="宋体" w:eastAsia="宋体" w:cs="宋体"/>
                <w:i w:val="0"/>
                <w:iCs w:val="0"/>
                <w:color w:val="000000"/>
                <w:sz w:val="18"/>
                <w:szCs w:val="18"/>
                <w:u w:val="none"/>
              </w:rPr>
            </w:pP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26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满意度</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F86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Arial Narrow" w:hAnsi="Arial Narrow" w:eastAsia="Arial Narrow" w:cs="Arial Narrow"/>
                <w:i w:val="0"/>
                <w:iCs w:val="0"/>
                <w:color w:val="000000"/>
                <w:sz w:val="18"/>
                <w:szCs w:val="18"/>
                <w:u w:val="none"/>
              </w:rPr>
            </w:pPr>
            <w:r>
              <w:rPr>
                <w:rStyle w:val="23"/>
                <w:snapToGrid w:val="0"/>
                <w:color w:val="000000"/>
                <w:lang w:val="en-US" w:eastAsia="zh-CN" w:bidi="ar"/>
              </w:rPr>
              <w:t>受益对象满意度</w:t>
            </w:r>
          </w:p>
        </w:tc>
      </w:tr>
    </w:tbl>
    <w:p w14:paraId="171B3A11">
      <w:pPr>
        <w:pStyle w:val="4"/>
        <w:keepNext/>
        <w:keepLines/>
        <w:pageBreakBefore w:val="0"/>
        <w:widowControl/>
        <w:kinsoku w:val="0"/>
        <w:wordWrap/>
        <w:overflowPunct/>
        <w:topLinePunct w:val="0"/>
        <w:autoSpaceDE w:val="0"/>
        <w:autoSpaceDN w:val="0"/>
        <w:bidi w:val="0"/>
        <w:adjustRightInd w:val="0"/>
        <w:snapToGrid w:val="0"/>
        <w:spacing w:before="0" w:beforeLines="50"/>
        <w:jc w:val="both"/>
        <w:textAlignment w:val="baseline"/>
        <w:rPr>
          <w:rFonts w:hint="eastAsia" w:ascii="宋体" w:hAnsi="宋体"/>
          <w:sz w:val="28"/>
          <w:szCs w:val="28"/>
          <w:lang w:val="en-US" w:eastAsia="zh-CN"/>
        </w:rPr>
      </w:pPr>
      <w:r>
        <w:rPr>
          <w:rFonts w:hint="eastAsia" w:ascii="宋体" w:hAnsi="宋体"/>
          <w:sz w:val="28"/>
          <w:szCs w:val="28"/>
          <w:lang w:val="en-US" w:eastAsia="zh-CN"/>
        </w:rPr>
        <w:t>2.评价方法</w:t>
      </w:r>
      <w:bookmarkEnd w:id="62"/>
      <w:bookmarkEnd w:id="63"/>
      <w:bookmarkEnd w:id="64"/>
    </w:p>
    <w:p w14:paraId="7C728A0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b w:val="0"/>
          <w:bCs/>
          <w:spacing w:val="-8"/>
          <w:sz w:val="28"/>
          <w:szCs w:val="28"/>
          <w:lang w:val="en-US" w:eastAsia="zh-CN"/>
        </w:rPr>
      </w:pPr>
      <w:r>
        <w:rPr>
          <w:rFonts w:hint="eastAsia" w:ascii="宋体" w:hAnsi="宋体" w:eastAsia="仿宋_GB2312" w:cs="仿宋_GB2312"/>
          <w:b w:val="0"/>
          <w:bCs/>
          <w:spacing w:val="-8"/>
          <w:sz w:val="28"/>
          <w:szCs w:val="28"/>
          <w:lang w:val="en-US" w:eastAsia="zh-CN"/>
        </w:rPr>
        <w:t>本次绩效评价遵循“客观、公正、科学、规范”的原则，结合项目特点，采取询问查证、实地察看、问卷调查和专家评议相结合的方法开展评价工作，定性与定量相结合，从项目决策、项目管理、项目产出、项目效益4个方面对本项目开展绩效评价。</w:t>
      </w:r>
    </w:p>
    <w:p w14:paraId="3E434D2F">
      <w:pPr>
        <w:pStyle w:val="4"/>
        <w:pageBreakBefore w:val="0"/>
        <w:wordWrap/>
        <w:overflowPunct/>
        <w:topLinePunct w:val="0"/>
        <w:bidi w:val="0"/>
        <w:jc w:val="both"/>
        <w:textAlignment w:val="baseline"/>
        <w:rPr>
          <w:rFonts w:hint="eastAsia" w:ascii="宋体" w:hAnsi="宋体"/>
          <w:sz w:val="28"/>
          <w:szCs w:val="28"/>
          <w:lang w:val="en-US" w:eastAsia="zh-CN"/>
        </w:rPr>
      </w:pPr>
      <w:bookmarkStart w:id="65" w:name="_Toc6786"/>
      <w:bookmarkStart w:id="66" w:name="_Toc27812"/>
      <w:bookmarkStart w:id="67" w:name="_Toc7445"/>
      <w:r>
        <w:rPr>
          <w:rFonts w:hint="eastAsia" w:ascii="宋体" w:hAnsi="宋体"/>
          <w:sz w:val="28"/>
          <w:szCs w:val="28"/>
          <w:lang w:val="en-US" w:eastAsia="zh-CN"/>
        </w:rPr>
        <w:t>3.评价标准</w:t>
      </w:r>
      <w:bookmarkEnd w:id="65"/>
      <w:bookmarkEnd w:id="66"/>
      <w:bookmarkEnd w:id="67"/>
    </w:p>
    <w:p w14:paraId="3565ECB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b w:val="0"/>
          <w:bCs/>
          <w:spacing w:val="-8"/>
          <w:sz w:val="28"/>
          <w:szCs w:val="28"/>
          <w:highlight w:val="none"/>
          <w:lang w:val="en-US" w:eastAsia="zh-CN"/>
        </w:rPr>
      </w:pPr>
      <w:r>
        <w:rPr>
          <w:rFonts w:hint="eastAsia" w:ascii="宋体" w:hAnsi="宋体" w:eastAsia="仿宋_GB2312" w:cs="仿宋_GB2312"/>
          <w:b w:val="0"/>
          <w:bCs/>
          <w:spacing w:val="-8"/>
          <w:sz w:val="28"/>
          <w:szCs w:val="28"/>
          <w:highlight w:val="none"/>
          <w:lang w:val="en-US" w:eastAsia="zh-CN"/>
        </w:rPr>
        <w:t>本次评价采用的评价标准主要有计划标准、行业标准和其他标准。将《地方政府专项债券项目资金绩效管理办法》</w:t>
      </w:r>
      <w:r>
        <w:rPr>
          <w:rFonts w:hint="eastAsia" w:ascii="宋体" w:hAnsi="宋体" w:cs="仿宋_GB2312"/>
          <w:b w:val="0"/>
          <w:bCs/>
          <w:spacing w:val="-8"/>
          <w:sz w:val="28"/>
          <w:szCs w:val="28"/>
          <w:highlight w:val="none"/>
          <w:lang w:val="en-US" w:eastAsia="zh-CN"/>
        </w:rPr>
        <w:t>（</w:t>
      </w:r>
      <w:r>
        <w:rPr>
          <w:rFonts w:hint="eastAsia" w:ascii="宋体" w:hAnsi="宋体" w:eastAsia="仿宋_GB2312" w:cs="仿宋_GB2312"/>
          <w:b w:val="0"/>
          <w:bCs/>
          <w:spacing w:val="-8"/>
          <w:sz w:val="28"/>
          <w:szCs w:val="28"/>
          <w:highlight w:val="none"/>
          <w:lang w:val="en-US" w:eastAsia="zh-CN"/>
        </w:rPr>
        <w:t>财预【2021】61号</w:t>
      </w:r>
      <w:r>
        <w:rPr>
          <w:rFonts w:hint="eastAsia" w:ascii="宋体" w:hAnsi="宋体" w:cs="仿宋_GB2312"/>
          <w:b w:val="0"/>
          <w:bCs/>
          <w:spacing w:val="-8"/>
          <w:sz w:val="28"/>
          <w:szCs w:val="28"/>
          <w:highlight w:val="none"/>
          <w:lang w:val="en-US" w:eastAsia="zh-CN"/>
        </w:rPr>
        <w:t>）</w:t>
      </w:r>
      <w:r>
        <w:rPr>
          <w:rFonts w:hint="eastAsia" w:ascii="宋体" w:hAnsi="宋体" w:eastAsia="仿宋_GB2312" w:cs="仿宋_GB2312"/>
          <w:b w:val="0"/>
          <w:bCs/>
          <w:spacing w:val="-8"/>
          <w:sz w:val="28"/>
          <w:szCs w:val="28"/>
          <w:highlight w:val="none"/>
          <w:lang w:val="en-US" w:eastAsia="zh-CN"/>
        </w:rPr>
        <w:t>、《吉林省地方政府专项债券项目绩效评价管理办法（试行）》（吉财债【2021】1044号）等提出的工作目标、资金拨付指标文件、资金分配方案、可行性研究报告、绩效目标表等作为计划评价标准；将《建材工业建设项目经济评价方法与参数》《建筑地基基础工程施工量验收规范》等作为行业评价标准</w:t>
      </w:r>
      <w:r>
        <w:rPr>
          <w:rFonts w:hint="eastAsia" w:ascii="宋体" w:hAnsi="宋体" w:cs="仿宋_GB2312"/>
          <w:b w:val="0"/>
          <w:bCs/>
          <w:spacing w:val="-8"/>
          <w:sz w:val="28"/>
          <w:szCs w:val="28"/>
          <w:highlight w:val="none"/>
          <w:lang w:val="en-US" w:eastAsia="zh-CN"/>
        </w:rPr>
        <w:t>，</w:t>
      </w:r>
      <w:r>
        <w:rPr>
          <w:rFonts w:hint="eastAsia" w:ascii="宋体" w:hAnsi="宋体" w:eastAsia="仿宋_GB2312" w:cs="仿宋_GB2312"/>
          <w:b w:val="0"/>
          <w:bCs/>
          <w:spacing w:val="-8"/>
          <w:sz w:val="28"/>
          <w:szCs w:val="28"/>
          <w:highlight w:val="none"/>
          <w:lang w:val="en-US" w:eastAsia="zh-CN"/>
        </w:rPr>
        <w:t>将与</w:t>
      </w:r>
      <w:r>
        <w:rPr>
          <w:rFonts w:hint="eastAsia" w:ascii="宋体" w:hAnsi="宋体" w:cs="仿宋_GB2312"/>
          <w:b w:val="0"/>
          <w:bCs/>
          <w:spacing w:val="-8"/>
          <w:sz w:val="28"/>
          <w:szCs w:val="28"/>
          <w:highlight w:val="none"/>
          <w:lang w:val="en-US" w:eastAsia="zh-CN"/>
        </w:rPr>
        <w:t>长春宽城</w:t>
      </w:r>
      <w:r>
        <w:rPr>
          <w:rFonts w:hint="eastAsia" w:ascii="宋体" w:hAnsi="宋体" w:eastAsia="仿宋_GB2312" w:cs="仿宋_GB2312"/>
          <w:b w:val="0"/>
          <w:bCs/>
          <w:spacing w:val="-8"/>
          <w:sz w:val="28"/>
          <w:szCs w:val="28"/>
          <w:highlight w:val="none"/>
          <w:lang w:val="en-US" w:eastAsia="zh-CN"/>
        </w:rPr>
        <w:t>经济开发区管理委员会商议出的标准作为其他评价标准。</w:t>
      </w:r>
    </w:p>
    <w:p w14:paraId="7578B2C3">
      <w:pPr>
        <w:pStyle w:val="3"/>
        <w:pageBreakBefore w:val="0"/>
        <w:wordWrap/>
        <w:overflowPunct/>
        <w:topLinePunct w:val="0"/>
        <w:bidi w:val="0"/>
        <w:jc w:val="both"/>
        <w:textAlignment w:val="baseline"/>
        <w:rPr>
          <w:rFonts w:hint="eastAsia" w:ascii="宋体" w:hAnsi="宋体"/>
          <w:sz w:val="28"/>
          <w:szCs w:val="28"/>
        </w:rPr>
      </w:pPr>
      <w:bookmarkStart w:id="68" w:name="_bookmark7"/>
      <w:bookmarkEnd w:id="68"/>
      <w:bookmarkStart w:id="69" w:name="_Toc22886"/>
      <w:r>
        <w:rPr>
          <w:rFonts w:hint="eastAsia" w:ascii="宋体" w:hAnsi="宋体"/>
          <w:sz w:val="28"/>
          <w:szCs w:val="28"/>
          <w:lang w:eastAsia="zh-CN"/>
        </w:rPr>
        <w:t>（</w:t>
      </w:r>
      <w:r>
        <w:rPr>
          <w:rFonts w:hint="eastAsia" w:ascii="宋体" w:hAnsi="宋体"/>
          <w:sz w:val="28"/>
          <w:szCs w:val="28"/>
          <w:lang w:val="en-US" w:eastAsia="zh-CN"/>
        </w:rPr>
        <w:t>五</w:t>
      </w:r>
      <w:r>
        <w:rPr>
          <w:rFonts w:hint="eastAsia" w:ascii="宋体" w:hAnsi="宋体"/>
          <w:sz w:val="28"/>
          <w:szCs w:val="28"/>
          <w:lang w:eastAsia="zh-CN"/>
        </w:rPr>
        <w:t>）</w:t>
      </w:r>
      <w:r>
        <w:rPr>
          <w:rFonts w:hint="eastAsia" w:ascii="宋体" w:hAnsi="宋体"/>
          <w:sz w:val="28"/>
          <w:szCs w:val="28"/>
        </w:rPr>
        <w:t>绩效评价工作过程</w:t>
      </w:r>
      <w:bookmarkEnd w:id="69"/>
    </w:p>
    <w:p w14:paraId="5518465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lang w:val="en-US" w:eastAsia="zh-CN"/>
        </w:rPr>
      </w:pPr>
      <w:r>
        <w:rPr>
          <w:rFonts w:hint="eastAsia" w:ascii="宋体" w:hAnsi="宋体" w:eastAsia="仿宋_GB2312" w:cs="仿宋_GB2312"/>
          <w:spacing w:val="-8"/>
          <w:sz w:val="28"/>
          <w:szCs w:val="28"/>
          <w:lang w:val="en-US" w:eastAsia="zh-CN"/>
        </w:rPr>
        <w:t>前期资料收集及调研，收集查找有关项目的法律法规和相关制度；相关行业政策、行业标准及专业技术规范；预算管理制度、专项债券资金及财务管理办法、专项债券资金拨付文件等资料，对项目情况进行初步了解。</w:t>
      </w:r>
    </w:p>
    <w:p w14:paraId="6D3CB9F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highlight w:val="none"/>
          <w:lang w:val="en-US" w:eastAsia="zh-CN"/>
        </w:rPr>
      </w:pPr>
      <w:r>
        <w:rPr>
          <w:rFonts w:hint="eastAsia" w:ascii="宋体" w:hAnsi="宋体" w:eastAsia="仿宋_GB2312" w:cs="仿宋_GB2312"/>
          <w:spacing w:val="-8"/>
          <w:sz w:val="28"/>
          <w:szCs w:val="28"/>
          <w:lang w:val="en-US" w:eastAsia="zh-CN"/>
        </w:rPr>
        <w:t>根据项目内容和特征制定评价指标体系、评价标准及评价实施方案，确定所需材料清单和访谈问卷，形成绩效评价工作方案初稿。组成项目小组进行组内讨论，多轮修改及校对。根据专家</w:t>
      </w:r>
      <w:r>
        <w:rPr>
          <w:rFonts w:hint="eastAsia" w:ascii="宋体" w:hAnsi="宋体" w:eastAsia="仿宋_GB2312" w:cs="仿宋_GB2312"/>
          <w:spacing w:val="-8"/>
          <w:sz w:val="28"/>
          <w:szCs w:val="28"/>
          <w:highlight w:val="none"/>
          <w:lang w:val="en-US" w:eastAsia="zh-CN"/>
        </w:rPr>
        <w:t>老师的指导完善工作方案，确定最终的绩效评价方案。</w:t>
      </w:r>
    </w:p>
    <w:p w14:paraId="3E34AF6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lang w:val="en-US" w:eastAsia="zh-CN"/>
        </w:rPr>
      </w:pPr>
      <w:r>
        <w:rPr>
          <w:rFonts w:hint="eastAsia" w:ascii="宋体" w:hAnsi="宋体" w:eastAsia="仿宋_GB2312" w:cs="仿宋_GB2312"/>
          <w:spacing w:val="-8"/>
          <w:sz w:val="28"/>
          <w:szCs w:val="28"/>
          <w:highlight w:val="none"/>
          <w:lang w:val="en-US" w:eastAsia="zh-CN"/>
        </w:rPr>
        <w:t>202</w:t>
      </w:r>
      <w:r>
        <w:rPr>
          <w:rFonts w:hint="eastAsia" w:ascii="宋体" w:hAnsi="宋体" w:cs="仿宋_GB2312"/>
          <w:spacing w:val="-8"/>
          <w:sz w:val="28"/>
          <w:szCs w:val="28"/>
          <w:highlight w:val="none"/>
          <w:lang w:val="en-US" w:eastAsia="zh-CN"/>
        </w:rPr>
        <w:t>6</w:t>
      </w:r>
      <w:r>
        <w:rPr>
          <w:rFonts w:hint="eastAsia" w:ascii="宋体" w:hAnsi="宋体" w:eastAsia="仿宋_GB2312" w:cs="仿宋_GB2312"/>
          <w:spacing w:val="-8"/>
          <w:sz w:val="28"/>
          <w:szCs w:val="28"/>
          <w:highlight w:val="none"/>
          <w:lang w:val="en-US" w:eastAsia="zh-CN"/>
        </w:rPr>
        <w:t>年</w:t>
      </w:r>
      <w:r>
        <w:rPr>
          <w:rFonts w:hint="eastAsia" w:ascii="宋体" w:hAnsi="宋体" w:cs="仿宋_GB2312"/>
          <w:spacing w:val="-8"/>
          <w:sz w:val="28"/>
          <w:szCs w:val="28"/>
          <w:highlight w:val="none"/>
          <w:lang w:val="en-US" w:eastAsia="zh-CN"/>
        </w:rPr>
        <w:t>6</w:t>
      </w:r>
      <w:r>
        <w:rPr>
          <w:rFonts w:hint="eastAsia" w:ascii="宋体" w:hAnsi="宋体" w:eastAsia="仿宋_GB2312" w:cs="仿宋_GB2312"/>
          <w:spacing w:val="-8"/>
          <w:sz w:val="28"/>
          <w:szCs w:val="28"/>
          <w:highlight w:val="none"/>
          <w:lang w:val="en-US" w:eastAsia="zh-CN"/>
        </w:rPr>
        <w:t>月评价组先后</w:t>
      </w:r>
      <w:r>
        <w:rPr>
          <w:rFonts w:hint="eastAsia" w:ascii="宋体" w:hAnsi="宋体" w:cs="仿宋_GB2312"/>
          <w:spacing w:val="-8"/>
          <w:sz w:val="28"/>
          <w:szCs w:val="28"/>
          <w:highlight w:val="none"/>
          <w:lang w:val="en-US" w:eastAsia="zh-CN"/>
        </w:rPr>
        <w:t>与长春宽城</w:t>
      </w:r>
      <w:r>
        <w:rPr>
          <w:rFonts w:hint="eastAsia" w:ascii="宋体" w:hAnsi="宋体" w:eastAsia="仿宋_GB2312" w:cs="仿宋_GB2312"/>
          <w:spacing w:val="-8"/>
          <w:sz w:val="28"/>
          <w:szCs w:val="28"/>
          <w:highlight w:val="none"/>
          <w:lang w:val="en-US" w:eastAsia="zh-CN"/>
        </w:rPr>
        <w:t>经济开发区管理委员会、</w:t>
      </w:r>
      <w:r>
        <w:rPr>
          <w:rFonts w:hint="eastAsia" w:ascii="宋体" w:hAnsi="宋体" w:cs="仿宋_GB2312"/>
          <w:spacing w:val="-8"/>
          <w:sz w:val="28"/>
          <w:szCs w:val="28"/>
          <w:highlight w:val="none"/>
          <w:lang w:val="en-US" w:eastAsia="zh-CN"/>
        </w:rPr>
        <w:t>长春市宽城区医院</w:t>
      </w:r>
      <w:r>
        <w:rPr>
          <w:rFonts w:hint="eastAsia" w:ascii="宋体" w:hAnsi="宋体" w:eastAsia="仿宋_GB2312" w:cs="仿宋_GB2312"/>
          <w:spacing w:val="-8"/>
          <w:sz w:val="28"/>
          <w:szCs w:val="28"/>
          <w:highlight w:val="none"/>
          <w:lang w:val="en-US" w:eastAsia="zh-CN"/>
        </w:rPr>
        <w:t>进行</w:t>
      </w:r>
      <w:r>
        <w:rPr>
          <w:rFonts w:hint="eastAsia" w:ascii="宋体" w:hAnsi="宋体" w:cs="仿宋_GB2312"/>
          <w:spacing w:val="-8"/>
          <w:sz w:val="28"/>
          <w:szCs w:val="28"/>
          <w:highlight w:val="none"/>
          <w:lang w:val="en-US" w:eastAsia="zh-CN"/>
        </w:rPr>
        <w:t>沟通及现场收集资料</w:t>
      </w:r>
      <w:r>
        <w:rPr>
          <w:rFonts w:hint="eastAsia" w:ascii="宋体" w:hAnsi="宋体" w:eastAsia="仿宋_GB2312" w:cs="仿宋_GB2312"/>
          <w:spacing w:val="-8"/>
          <w:sz w:val="28"/>
          <w:szCs w:val="28"/>
          <w:highlight w:val="none"/>
          <w:lang w:val="en-US" w:eastAsia="zh-CN"/>
        </w:rPr>
        <w:t>。主要</w:t>
      </w:r>
      <w:r>
        <w:rPr>
          <w:rFonts w:hint="eastAsia" w:ascii="宋体" w:hAnsi="宋体" w:cs="仿宋_GB2312"/>
          <w:spacing w:val="-8"/>
          <w:sz w:val="28"/>
          <w:szCs w:val="28"/>
          <w:highlight w:val="none"/>
          <w:lang w:val="en-US" w:eastAsia="zh-CN"/>
        </w:rPr>
        <w:t>了解</w:t>
      </w:r>
      <w:r>
        <w:rPr>
          <w:rFonts w:hint="eastAsia" w:ascii="宋体" w:hAnsi="宋体" w:eastAsia="仿宋_GB2312" w:cs="仿宋_GB2312"/>
          <w:spacing w:val="-8"/>
          <w:sz w:val="28"/>
          <w:szCs w:val="28"/>
          <w:highlight w:val="none"/>
          <w:lang w:val="en-US" w:eastAsia="zh-CN"/>
        </w:rPr>
        <w:t>被评价单位与评价项目的目标设定及完成情况，组织管理制度健全及落实情况，专项资金执行情况，财务管理状况，和项目实施等情况</w:t>
      </w:r>
      <w:r>
        <w:rPr>
          <w:rFonts w:hint="eastAsia" w:ascii="宋体" w:hAnsi="宋体" w:cs="仿宋_GB2312"/>
          <w:spacing w:val="-8"/>
          <w:sz w:val="28"/>
          <w:szCs w:val="28"/>
          <w:highlight w:val="none"/>
          <w:lang w:val="en-US" w:eastAsia="zh-CN"/>
        </w:rPr>
        <w:t>，</w:t>
      </w:r>
      <w:r>
        <w:rPr>
          <w:rFonts w:hint="eastAsia" w:ascii="宋体" w:hAnsi="宋体" w:eastAsia="仿宋_GB2312" w:cs="仿宋_GB2312"/>
          <w:spacing w:val="-8"/>
          <w:sz w:val="28"/>
          <w:szCs w:val="28"/>
          <w:highlight w:val="none"/>
          <w:lang w:val="en-US" w:eastAsia="zh-CN"/>
        </w:rPr>
        <w:t>并收集所需资料，</w:t>
      </w:r>
      <w:r>
        <w:rPr>
          <w:rFonts w:hint="eastAsia" w:ascii="宋体" w:hAnsi="宋体" w:eastAsia="仿宋_GB2312" w:cs="仿宋_GB2312"/>
          <w:spacing w:val="-8"/>
          <w:sz w:val="28"/>
          <w:szCs w:val="28"/>
          <w:lang w:val="en-US" w:eastAsia="zh-CN"/>
        </w:rPr>
        <w:t>对收集的资料进行查看，核实其真实性。</w:t>
      </w:r>
    </w:p>
    <w:p w14:paraId="0D75B4E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highlight w:val="none"/>
          <w:lang w:val="en-US" w:eastAsia="zh-CN"/>
        </w:rPr>
      </w:pPr>
      <w:r>
        <w:rPr>
          <w:rFonts w:hint="eastAsia" w:ascii="宋体" w:hAnsi="宋体" w:eastAsia="仿宋_GB2312" w:cs="仿宋_GB2312"/>
          <w:spacing w:val="-8"/>
          <w:sz w:val="28"/>
          <w:szCs w:val="28"/>
          <w:lang w:val="en-US" w:eastAsia="zh-CN"/>
        </w:rPr>
        <w:t>评价组按照绩效评价原则和规范，对取得的资料与数据进行客观分析，按照绩效评价指标体系逐一打分，并撰写绩效评价报</w:t>
      </w:r>
      <w:r>
        <w:rPr>
          <w:rFonts w:hint="eastAsia" w:ascii="宋体" w:hAnsi="宋体" w:eastAsia="仿宋_GB2312" w:cs="仿宋_GB2312"/>
          <w:spacing w:val="-8"/>
          <w:sz w:val="28"/>
          <w:szCs w:val="28"/>
          <w:highlight w:val="none"/>
          <w:lang w:val="en-US" w:eastAsia="zh-CN"/>
        </w:rPr>
        <w:t>告，完成初稿后，征求被评价单位意见，根据反馈的有效意见对评价报告进行修改，并按照规定的时间提交给</w:t>
      </w:r>
      <w:r>
        <w:rPr>
          <w:rFonts w:hint="eastAsia" w:ascii="宋体" w:hAnsi="宋体" w:cs="仿宋_GB2312"/>
          <w:spacing w:val="-8"/>
          <w:sz w:val="28"/>
          <w:szCs w:val="28"/>
          <w:highlight w:val="none"/>
          <w:lang w:val="en-US" w:eastAsia="zh-CN"/>
        </w:rPr>
        <w:t>长春宽城经济</w:t>
      </w:r>
      <w:r>
        <w:rPr>
          <w:rFonts w:hint="eastAsia" w:ascii="宋体" w:hAnsi="宋体" w:eastAsia="仿宋_GB2312" w:cs="仿宋_GB2312"/>
          <w:spacing w:val="-8"/>
          <w:sz w:val="28"/>
          <w:szCs w:val="28"/>
          <w:highlight w:val="none"/>
          <w:lang w:val="en-US" w:eastAsia="zh-CN"/>
        </w:rPr>
        <w:t>开发区管理委员会审核。</w:t>
      </w:r>
    </w:p>
    <w:p w14:paraId="2C8F1E78">
      <w:pPr>
        <w:pStyle w:val="2"/>
        <w:pageBreakBefore w:val="0"/>
        <w:wordWrap/>
        <w:overflowPunct/>
        <w:topLinePunct w:val="0"/>
        <w:bidi w:val="0"/>
        <w:jc w:val="both"/>
        <w:textAlignment w:val="baseline"/>
        <w:rPr>
          <w:rFonts w:hint="eastAsia" w:ascii="宋体" w:hAnsi="宋体"/>
          <w:sz w:val="28"/>
          <w:szCs w:val="28"/>
          <w:highlight w:val="none"/>
        </w:rPr>
      </w:pPr>
      <w:bookmarkStart w:id="70" w:name="_bookmark8"/>
      <w:bookmarkEnd w:id="70"/>
      <w:bookmarkStart w:id="71" w:name="_Toc20323"/>
      <w:r>
        <w:rPr>
          <w:rFonts w:hint="eastAsia" w:ascii="宋体" w:hAnsi="宋体"/>
          <w:sz w:val="28"/>
          <w:szCs w:val="28"/>
          <w:highlight w:val="none"/>
        </w:rPr>
        <w:t>三、综合评价情况及评价结论</w:t>
      </w:r>
      <w:bookmarkEnd w:id="71"/>
    </w:p>
    <w:p w14:paraId="24E7234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仿宋_GB2312" w:cs="仿宋_GB2312"/>
          <w:spacing w:val="-8"/>
          <w:sz w:val="28"/>
          <w:szCs w:val="28"/>
          <w:highlight w:val="none"/>
          <w:lang w:val="en-US" w:eastAsia="zh-CN"/>
        </w:rPr>
      </w:pPr>
      <w:r>
        <w:rPr>
          <w:rFonts w:hint="eastAsia" w:ascii="宋体" w:hAnsi="宋体" w:eastAsia="仿宋_GB2312" w:cs="仿宋_GB2312"/>
          <w:spacing w:val="-8"/>
          <w:sz w:val="28"/>
          <w:szCs w:val="28"/>
          <w:highlight w:val="none"/>
          <w:lang w:val="en-US" w:eastAsia="zh-CN"/>
        </w:rPr>
        <w:t>该项目绩效评价得分为</w:t>
      </w:r>
      <w:r>
        <w:rPr>
          <w:rFonts w:hint="eastAsia" w:ascii="宋体" w:hAnsi="宋体" w:cs="仿宋_GB2312"/>
          <w:spacing w:val="-8"/>
          <w:sz w:val="28"/>
          <w:szCs w:val="28"/>
          <w:highlight w:val="none"/>
          <w:lang w:val="en-US" w:eastAsia="zh-CN"/>
        </w:rPr>
        <w:t>91.50</w:t>
      </w:r>
      <w:r>
        <w:rPr>
          <w:rFonts w:hint="eastAsia" w:ascii="宋体" w:hAnsi="宋体" w:eastAsia="仿宋_GB2312" w:cs="仿宋_GB2312"/>
          <w:spacing w:val="-8"/>
          <w:sz w:val="28"/>
          <w:szCs w:val="28"/>
          <w:highlight w:val="none"/>
          <w:lang w:val="en-US" w:eastAsia="zh-CN"/>
        </w:rPr>
        <w:t>分，根据《吉林省地方政府专项债券项目资金绩效管理办法（试行）》（吉财债〔2021〕1044号），本项目综合评分分级为“</w:t>
      </w:r>
      <w:r>
        <w:rPr>
          <w:rFonts w:hint="eastAsia" w:ascii="宋体" w:hAnsi="宋体" w:cs="仿宋_GB2312"/>
          <w:spacing w:val="-8"/>
          <w:sz w:val="28"/>
          <w:szCs w:val="28"/>
          <w:highlight w:val="none"/>
          <w:lang w:val="en-US" w:eastAsia="zh-CN"/>
        </w:rPr>
        <w:t>优</w:t>
      </w:r>
      <w:r>
        <w:rPr>
          <w:rFonts w:hint="eastAsia" w:ascii="宋体" w:hAnsi="宋体" w:eastAsia="仿宋_GB2312" w:cs="仿宋_GB2312"/>
          <w:spacing w:val="-8"/>
          <w:sz w:val="28"/>
          <w:szCs w:val="28"/>
          <w:highlight w:val="none"/>
          <w:lang w:val="en-US" w:eastAsia="zh-CN"/>
        </w:rPr>
        <w:t>”，评价等级为“</w:t>
      </w:r>
      <w:r>
        <w:rPr>
          <w:rFonts w:hint="eastAsia" w:ascii="宋体" w:hAnsi="宋体" w:cs="仿宋_GB2312"/>
          <w:spacing w:val="-8"/>
          <w:sz w:val="28"/>
          <w:szCs w:val="28"/>
          <w:highlight w:val="none"/>
          <w:lang w:val="en-US" w:eastAsia="zh-CN"/>
        </w:rPr>
        <w:t>优</w:t>
      </w:r>
      <w:r>
        <w:rPr>
          <w:rFonts w:hint="eastAsia" w:ascii="宋体" w:hAnsi="宋体" w:eastAsia="仿宋_GB2312" w:cs="仿宋_GB2312"/>
          <w:spacing w:val="-8"/>
          <w:sz w:val="28"/>
          <w:szCs w:val="28"/>
          <w:highlight w:val="none"/>
          <w:lang w:val="en-US" w:eastAsia="zh-CN"/>
        </w:rPr>
        <w:t>”。绩效评价得分汇总如表</w:t>
      </w:r>
      <w:r>
        <w:rPr>
          <w:rFonts w:hint="eastAsia" w:ascii="宋体" w:hAnsi="宋体" w:cs="仿宋_GB2312"/>
          <w:spacing w:val="-8"/>
          <w:sz w:val="28"/>
          <w:szCs w:val="28"/>
          <w:highlight w:val="none"/>
          <w:lang w:val="en-US" w:eastAsia="zh-CN"/>
        </w:rPr>
        <w:t>1</w:t>
      </w:r>
      <w:r>
        <w:rPr>
          <w:rFonts w:hint="eastAsia" w:ascii="宋体" w:hAnsi="宋体" w:eastAsia="仿宋_GB2312" w:cs="仿宋_GB2312"/>
          <w:spacing w:val="-8"/>
          <w:sz w:val="28"/>
          <w:szCs w:val="28"/>
          <w:highlight w:val="none"/>
          <w:lang w:val="en-US" w:eastAsia="zh-CN"/>
        </w:rPr>
        <w:t>所示，该项目综合评价情况如下：</w:t>
      </w:r>
    </w:p>
    <w:p w14:paraId="7F406F3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0" w:firstLineChars="200"/>
        <w:jc w:val="both"/>
        <w:textAlignment w:val="baseline"/>
        <w:rPr>
          <w:rFonts w:hint="eastAsia" w:ascii="宋体" w:hAnsi="宋体" w:eastAsia="仿宋_GB2312" w:cs="仿宋_GB2312"/>
          <w:spacing w:val="-8"/>
          <w:sz w:val="28"/>
          <w:szCs w:val="28"/>
          <w:highlight w:val="none"/>
          <w:lang w:val="en-US" w:eastAsia="zh-CN"/>
        </w:rPr>
      </w:pPr>
      <w:r>
        <w:rPr>
          <w:rFonts w:hint="eastAsia" w:ascii="宋体" w:hAnsi="宋体" w:eastAsia="仿宋_GB2312" w:cs="仿宋_GB2312"/>
          <w:b/>
          <w:bCs/>
          <w:spacing w:val="-8"/>
          <w:sz w:val="28"/>
          <w:szCs w:val="28"/>
          <w:highlight w:val="none"/>
          <w:lang w:val="en-US" w:eastAsia="zh-CN"/>
        </w:rPr>
        <w:t>决策方面</w:t>
      </w:r>
      <w:r>
        <w:rPr>
          <w:rFonts w:hint="eastAsia" w:ascii="宋体" w:hAnsi="宋体" w:eastAsia="仿宋_GB2312" w:cs="仿宋_GB2312"/>
          <w:spacing w:val="-8"/>
          <w:sz w:val="28"/>
          <w:szCs w:val="28"/>
          <w:highlight w:val="none"/>
          <w:lang w:val="en-US" w:eastAsia="zh-CN"/>
        </w:rPr>
        <w:t>，</w:t>
      </w:r>
      <w:r>
        <w:rPr>
          <w:rFonts w:hint="eastAsia" w:ascii="宋体" w:hAnsi="宋体" w:cs="仿宋_GB2312"/>
          <w:spacing w:val="-8"/>
          <w:sz w:val="28"/>
          <w:szCs w:val="28"/>
          <w:highlight w:val="none"/>
          <w:lang w:val="en-US" w:eastAsia="zh-CN"/>
        </w:rPr>
        <w:t>长春市宽城区医院异地</w:t>
      </w:r>
      <w:r>
        <w:rPr>
          <w:rFonts w:hint="eastAsia" w:ascii="宋体" w:hAnsi="宋体" w:eastAsia="仿宋_GB2312" w:cs="仿宋_GB2312"/>
          <w:spacing w:val="-8"/>
          <w:sz w:val="28"/>
          <w:szCs w:val="28"/>
          <w:highlight w:val="none"/>
          <w:lang w:val="en-US" w:eastAsia="zh-CN"/>
        </w:rPr>
        <w:t>建设项目立项</w:t>
      </w:r>
      <w:r>
        <w:rPr>
          <w:rFonts w:hint="eastAsia" w:ascii="宋体" w:hAnsi="宋体" w:cs="仿宋_GB2312"/>
          <w:spacing w:val="-8"/>
          <w:sz w:val="28"/>
          <w:szCs w:val="28"/>
          <w:highlight w:val="none"/>
          <w:lang w:val="en-US" w:eastAsia="zh-CN"/>
        </w:rPr>
        <w:t>依据充分，</w:t>
      </w:r>
      <w:r>
        <w:rPr>
          <w:rFonts w:hint="eastAsia" w:ascii="宋体" w:hAnsi="宋体" w:eastAsia="仿宋_GB2312" w:cs="仿宋_GB2312"/>
          <w:spacing w:val="-8"/>
          <w:sz w:val="28"/>
          <w:szCs w:val="28"/>
          <w:highlight w:val="none"/>
          <w:lang w:val="en-US" w:eastAsia="zh-CN"/>
        </w:rPr>
        <w:t>立项程序规范</w:t>
      </w:r>
      <w:r>
        <w:rPr>
          <w:rFonts w:hint="eastAsia" w:ascii="宋体" w:hAnsi="宋体" w:cs="仿宋_GB2312"/>
          <w:spacing w:val="-8"/>
          <w:sz w:val="28"/>
          <w:szCs w:val="28"/>
          <w:highlight w:val="none"/>
          <w:lang w:val="en-US" w:eastAsia="zh-CN"/>
        </w:rPr>
        <w:t>，绩效目标与指标设定合理准确。</w:t>
      </w:r>
    </w:p>
    <w:p w14:paraId="3F4EFB3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0" w:firstLineChars="200"/>
        <w:jc w:val="both"/>
        <w:textAlignment w:val="baseline"/>
        <w:rPr>
          <w:rFonts w:hint="eastAsia" w:ascii="宋体" w:hAnsi="宋体" w:eastAsia="仿宋_GB2312" w:cs="仿宋_GB2312"/>
          <w:spacing w:val="-8"/>
          <w:sz w:val="28"/>
          <w:szCs w:val="28"/>
          <w:highlight w:val="none"/>
          <w:lang w:val="en-US" w:eastAsia="zh-CN"/>
        </w:rPr>
      </w:pPr>
      <w:r>
        <w:rPr>
          <w:rFonts w:hint="eastAsia" w:ascii="宋体" w:hAnsi="宋体" w:eastAsia="仿宋_GB2312" w:cs="仿宋_GB2312"/>
          <w:b/>
          <w:bCs/>
          <w:spacing w:val="-8"/>
          <w:sz w:val="28"/>
          <w:szCs w:val="28"/>
          <w:highlight w:val="none"/>
          <w:lang w:val="en-US" w:eastAsia="zh-CN"/>
        </w:rPr>
        <w:t>管理方面</w:t>
      </w:r>
      <w:r>
        <w:rPr>
          <w:rFonts w:hint="eastAsia" w:ascii="宋体" w:hAnsi="宋体" w:eastAsia="仿宋_GB2312" w:cs="仿宋_GB2312"/>
          <w:spacing w:val="-8"/>
          <w:sz w:val="28"/>
          <w:szCs w:val="28"/>
          <w:highlight w:val="none"/>
          <w:lang w:val="en-US" w:eastAsia="zh-CN"/>
        </w:rPr>
        <w:t>，资金到位及时、资金使用合规，</w:t>
      </w:r>
      <w:r>
        <w:rPr>
          <w:rFonts w:hint="eastAsia" w:ascii="宋体" w:hAnsi="宋体" w:cs="仿宋_GB2312"/>
          <w:spacing w:val="-8"/>
          <w:sz w:val="28"/>
          <w:szCs w:val="28"/>
          <w:highlight w:val="none"/>
          <w:lang w:val="en-US" w:eastAsia="zh-CN"/>
        </w:rPr>
        <w:t>基本</w:t>
      </w:r>
      <w:r>
        <w:rPr>
          <w:rFonts w:hint="eastAsia" w:ascii="宋体" w:hAnsi="宋体" w:eastAsia="仿宋_GB2312" w:cs="仿宋_GB2312"/>
          <w:spacing w:val="-8"/>
          <w:sz w:val="28"/>
          <w:szCs w:val="28"/>
          <w:highlight w:val="none"/>
          <w:lang w:val="en-US" w:eastAsia="zh-CN"/>
        </w:rPr>
        <w:t>符合国家财经法规和财务管理制度以及有关专项资金管理办法的规定，</w:t>
      </w:r>
      <w:r>
        <w:rPr>
          <w:rFonts w:hint="eastAsia" w:ascii="宋体" w:hAnsi="宋体" w:cs="仿宋_GB2312"/>
          <w:spacing w:val="-8"/>
          <w:sz w:val="28"/>
          <w:szCs w:val="28"/>
          <w:highlight w:val="none"/>
          <w:lang w:val="en-US" w:eastAsia="zh-CN"/>
        </w:rPr>
        <w:t>但在合同签订等流程中不够严谨；</w:t>
      </w:r>
      <w:r>
        <w:rPr>
          <w:rFonts w:hint="eastAsia" w:ascii="宋体" w:hAnsi="宋体" w:eastAsia="仿宋_GB2312" w:cs="仿宋_GB2312"/>
          <w:spacing w:val="-8"/>
          <w:sz w:val="28"/>
          <w:szCs w:val="28"/>
          <w:highlight w:val="none"/>
          <w:lang w:val="en-US" w:eastAsia="zh-CN"/>
        </w:rPr>
        <w:t>资金拨付的审批程序和手续完整</w:t>
      </w:r>
      <w:r>
        <w:rPr>
          <w:rFonts w:hint="eastAsia" w:ascii="宋体" w:hAnsi="宋体" w:cs="仿宋_GB2312"/>
          <w:spacing w:val="-8"/>
          <w:sz w:val="28"/>
          <w:szCs w:val="28"/>
          <w:highlight w:val="none"/>
          <w:lang w:val="en-US" w:eastAsia="zh-CN"/>
        </w:rPr>
        <w:t>，</w:t>
      </w:r>
      <w:r>
        <w:rPr>
          <w:rFonts w:hint="eastAsia" w:ascii="宋体" w:hAnsi="宋体" w:eastAsia="仿宋_GB2312" w:cs="仿宋_GB2312"/>
          <w:spacing w:val="-8"/>
          <w:sz w:val="28"/>
          <w:szCs w:val="28"/>
          <w:highlight w:val="none"/>
          <w:lang w:val="en-US" w:eastAsia="zh-CN"/>
        </w:rPr>
        <w:t>项目前期资料准备充分并取得批复，管理制度基本健全</w:t>
      </w:r>
      <w:r>
        <w:rPr>
          <w:rFonts w:hint="eastAsia" w:ascii="宋体" w:hAnsi="宋体" w:cs="仿宋_GB2312"/>
          <w:spacing w:val="-8"/>
          <w:sz w:val="28"/>
          <w:szCs w:val="28"/>
          <w:highlight w:val="none"/>
          <w:lang w:val="en-US" w:eastAsia="zh-CN"/>
        </w:rPr>
        <w:t>但不够细化</w:t>
      </w:r>
      <w:r>
        <w:rPr>
          <w:rFonts w:hint="eastAsia" w:ascii="宋体" w:hAnsi="宋体" w:eastAsia="仿宋_GB2312" w:cs="仿宋_GB2312"/>
          <w:spacing w:val="-8"/>
          <w:sz w:val="28"/>
          <w:szCs w:val="28"/>
          <w:highlight w:val="none"/>
          <w:lang w:val="en-US" w:eastAsia="zh-CN"/>
        </w:rPr>
        <w:t>，项目合同书等资料齐全并归档管理。</w:t>
      </w:r>
    </w:p>
    <w:p w14:paraId="6DE4046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30" w:firstLineChars="200"/>
        <w:jc w:val="both"/>
        <w:textAlignment w:val="baseline"/>
        <w:rPr>
          <w:rFonts w:hint="default" w:ascii="宋体" w:hAnsi="宋体" w:eastAsia="仿宋_GB2312" w:cs="仿宋_GB2312"/>
          <w:spacing w:val="-8"/>
          <w:sz w:val="28"/>
          <w:szCs w:val="28"/>
          <w:highlight w:val="none"/>
          <w:lang w:val="en-US" w:eastAsia="zh-CN"/>
        </w:rPr>
      </w:pPr>
      <w:r>
        <w:rPr>
          <w:rFonts w:hint="eastAsia" w:ascii="宋体" w:hAnsi="宋体" w:eastAsia="仿宋_GB2312" w:cs="仿宋_GB2312"/>
          <w:b/>
          <w:bCs/>
          <w:spacing w:val="-8"/>
          <w:sz w:val="28"/>
          <w:szCs w:val="28"/>
          <w:highlight w:val="none"/>
          <w:lang w:val="en-US" w:eastAsia="zh-CN"/>
        </w:rPr>
        <w:t>产出方面</w:t>
      </w:r>
      <w:r>
        <w:rPr>
          <w:rFonts w:hint="eastAsia" w:ascii="宋体" w:hAnsi="宋体" w:eastAsia="仿宋_GB2312" w:cs="仿宋_GB2312"/>
          <w:spacing w:val="-8"/>
          <w:sz w:val="28"/>
          <w:szCs w:val="28"/>
          <w:highlight w:val="none"/>
          <w:lang w:val="en-US" w:eastAsia="zh-CN"/>
        </w:rPr>
        <w:t>，项目按</w:t>
      </w:r>
      <w:r>
        <w:rPr>
          <w:rFonts w:hint="eastAsia" w:ascii="宋体" w:hAnsi="宋体" w:cs="仿宋_GB2312"/>
          <w:spacing w:val="-8"/>
          <w:sz w:val="28"/>
          <w:szCs w:val="28"/>
          <w:highlight w:val="none"/>
          <w:lang w:val="en-US" w:eastAsia="zh-CN"/>
        </w:rPr>
        <w:t>建设计划开工、但未按照建设计划竣工</w:t>
      </w:r>
      <w:r>
        <w:rPr>
          <w:rFonts w:hint="eastAsia" w:ascii="宋体" w:hAnsi="宋体" w:eastAsia="仿宋_GB2312" w:cs="仿宋_GB2312"/>
          <w:spacing w:val="-8"/>
          <w:sz w:val="28"/>
          <w:szCs w:val="28"/>
          <w:highlight w:val="none"/>
          <w:lang w:val="en-US" w:eastAsia="zh-CN"/>
        </w:rPr>
        <w:t>，施工主体工程</w:t>
      </w:r>
      <w:r>
        <w:rPr>
          <w:rFonts w:hint="eastAsia" w:ascii="宋体" w:hAnsi="宋体" w:cs="仿宋_GB2312"/>
          <w:spacing w:val="-8"/>
          <w:sz w:val="28"/>
          <w:szCs w:val="28"/>
          <w:highlight w:val="none"/>
          <w:lang w:val="en-US" w:eastAsia="zh-CN"/>
        </w:rPr>
        <w:t>按照后续</w:t>
      </w:r>
      <w:r>
        <w:rPr>
          <w:rFonts w:hint="eastAsia" w:ascii="宋体" w:hAnsi="宋体" w:eastAsia="仿宋_GB2312" w:cs="仿宋_GB2312"/>
          <w:spacing w:val="-8"/>
          <w:sz w:val="28"/>
          <w:szCs w:val="28"/>
          <w:highlight w:val="none"/>
          <w:lang w:val="en-US" w:eastAsia="zh-CN"/>
        </w:rPr>
        <w:t>计划工期</w:t>
      </w:r>
      <w:r>
        <w:rPr>
          <w:rFonts w:hint="eastAsia" w:ascii="宋体" w:hAnsi="宋体" w:cs="仿宋_GB2312"/>
          <w:spacing w:val="-8"/>
          <w:sz w:val="28"/>
          <w:szCs w:val="28"/>
          <w:highlight w:val="none"/>
          <w:lang w:val="en-US" w:eastAsia="zh-CN"/>
        </w:rPr>
        <w:t>进行工程建设</w:t>
      </w:r>
      <w:r>
        <w:rPr>
          <w:rFonts w:hint="eastAsia" w:ascii="宋体" w:hAnsi="宋体" w:eastAsia="仿宋_GB2312" w:cs="仿宋_GB2312"/>
          <w:spacing w:val="-8"/>
          <w:sz w:val="28"/>
          <w:szCs w:val="28"/>
          <w:highlight w:val="none"/>
          <w:lang w:val="en-US" w:eastAsia="zh-CN"/>
        </w:rPr>
        <w:t>，</w:t>
      </w:r>
      <w:r>
        <w:rPr>
          <w:rFonts w:hint="eastAsia" w:ascii="宋体" w:hAnsi="宋体" w:cs="仿宋_GB2312"/>
          <w:spacing w:val="-8"/>
          <w:sz w:val="28"/>
          <w:szCs w:val="28"/>
          <w:highlight w:val="none"/>
          <w:lang w:val="en-US" w:eastAsia="zh-CN"/>
        </w:rPr>
        <w:t>但</w:t>
      </w:r>
      <w:r>
        <w:rPr>
          <w:rFonts w:hint="eastAsia" w:ascii="宋体" w:hAnsi="宋体" w:cs="仿宋_GB2312"/>
          <w:i w:val="0"/>
          <w:iCs w:val="0"/>
          <w:caps w:val="0"/>
          <w:color w:val="333333"/>
          <w:spacing w:val="6"/>
          <w:sz w:val="28"/>
          <w:szCs w:val="28"/>
          <w:highlight w:val="none"/>
          <w:shd w:val="clear" w:fill="FFFFFF"/>
          <w:lang w:val="en-US" w:eastAsia="zh-CN"/>
        </w:rPr>
        <w:t>部分</w:t>
      </w:r>
      <w:r>
        <w:rPr>
          <w:rFonts w:hint="eastAsia" w:ascii="宋体" w:hAnsi="宋体" w:eastAsia="仿宋_GB2312" w:cs="仿宋_GB2312"/>
          <w:i w:val="0"/>
          <w:iCs w:val="0"/>
          <w:caps w:val="0"/>
          <w:color w:val="333333"/>
          <w:spacing w:val="6"/>
          <w:sz w:val="28"/>
          <w:szCs w:val="28"/>
          <w:highlight w:val="none"/>
          <w:shd w:val="clear" w:fill="FFFFFF"/>
          <w:lang w:val="en-US" w:eastAsia="zh-CN"/>
        </w:rPr>
        <w:t>工程款未严格按照</w:t>
      </w:r>
      <w:r>
        <w:rPr>
          <w:rFonts w:hint="eastAsia" w:ascii="宋体" w:hAnsi="宋体" w:cs="仿宋_GB2312"/>
          <w:i w:val="0"/>
          <w:iCs w:val="0"/>
          <w:caps w:val="0"/>
          <w:color w:val="333333"/>
          <w:spacing w:val="6"/>
          <w:sz w:val="28"/>
          <w:szCs w:val="28"/>
          <w:highlight w:val="none"/>
          <w:shd w:val="clear" w:fill="FFFFFF"/>
          <w:lang w:val="en-US" w:eastAsia="zh-CN"/>
        </w:rPr>
        <w:t>合同约定</w:t>
      </w:r>
      <w:r>
        <w:rPr>
          <w:rFonts w:hint="eastAsia" w:ascii="宋体" w:hAnsi="宋体" w:eastAsia="仿宋_GB2312" w:cs="仿宋_GB2312"/>
          <w:i w:val="0"/>
          <w:iCs w:val="0"/>
          <w:caps w:val="0"/>
          <w:color w:val="333333"/>
          <w:spacing w:val="6"/>
          <w:sz w:val="28"/>
          <w:szCs w:val="28"/>
          <w:highlight w:val="none"/>
          <w:shd w:val="clear" w:fill="FFFFFF"/>
          <w:lang w:val="en-US" w:eastAsia="zh-CN"/>
        </w:rPr>
        <w:t>拨付，成本控制方面有待提高，</w:t>
      </w:r>
      <w:r>
        <w:rPr>
          <w:rFonts w:hint="eastAsia" w:ascii="宋体" w:hAnsi="宋体" w:eastAsia="仿宋_GB2312" w:cs="仿宋_GB2312"/>
          <w:spacing w:val="-8"/>
          <w:sz w:val="28"/>
          <w:szCs w:val="28"/>
          <w:highlight w:val="none"/>
          <w:lang w:val="en-US" w:eastAsia="zh-CN"/>
        </w:rPr>
        <w:t>工程质量</w:t>
      </w:r>
      <w:r>
        <w:rPr>
          <w:rFonts w:hint="eastAsia" w:ascii="宋体" w:hAnsi="宋体" w:cs="仿宋_GB2312"/>
          <w:spacing w:val="-8"/>
          <w:sz w:val="28"/>
          <w:szCs w:val="28"/>
          <w:highlight w:val="none"/>
          <w:lang w:val="en-US" w:eastAsia="zh-CN"/>
        </w:rPr>
        <w:t>方面</w:t>
      </w:r>
      <w:r>
        <w:rPr>
          <w:rFonts w:hint="eastAsia" w:ascii="宋体" w:hAnsi="宋体" w:eastAsia="仿宋_GB2312" w:cs="仿宋_GB2312"/>
          <w:spacing w:val="-8"/>
          <w:sz w:val="28"/>
          <w:szCs w:val="28"/>
          <w:highlight w:val="none"/>
          <w:lang w:val="en-US" w:eastAsia="zh-CN"/>
        </w:rPr>
        <w:t>得到较好保障。</w:t>
      </w:r>
      <w:r>
        <w:rPr>
          <w:rFonts w:hint="eastAsia" w:ascii="宋体" w:hAnsi="宋体" w:cs="仿宋_GB2312"/>
          <w:spacing w:val="-8"/>
          <w:sz w:val="28"/>
          <w:szCs w:val="28"/>
          <w:highlight w:val="none"/>
          <w:lang w:val="en-US" w:eastAsia="zh-CN"/>
        </w:rPr>
        <w:t>本项目</w:t>
      </w:r>
      <w:r>
        <w:rPr>
          <w:rFonts w:hint="eastAsia" w:ascii="宋体" w:hAnsi="宋体" w:eastAsia="仿宋_GB2312" w:cs="仿宋_GB2312"/>
          <w:spacing w:val="-8"/>
          <w:sz w:val="28"/>
          <w:szCs w:val="28"/>
          <w:highlight w:val="none"/>
          <w:lang w:val="en-US" w:eastAsia="zh-CN"/>
        </w:rPr>
        <w:t>已进入试运行阶段，</w:t>
      </w:r>
      <w:r>
        <w:rPr>
          <w:rFonts w:hint="eastAsia" w:ascii="宋体" w:hAnsi="宋体" w:cs="仿宋_GB2312"/>
          <w:spacing w:val="-8"/>
          <w:sz w:val="28"/>
          <w:szCs w:val="28"/>
          <w:highlight w:val="none"/>
          <w:lang w:val="en-US" w:eastAsia="zh-CN"/>
        </w:rPr>
        <w:t>但</w:t>
      </w:r>
      <w:r>
        <w:rPr>
          <w:rFonts w:hint="eastAsia" w:ascii="宋体" w:hAnsi="宋体" w:eastAsia="仿宋_GB2312" w:cs="仿宋_GB2312"/>
          <w:spacing w:val="-8"/>
          <w:sz w:val="28"/>
          <w:szCs w:val="28"/>
          <w:highlight w:val="none"/>
          <w:lang w:val="en-US" w:eastAsia="zh-CN"/>
        </w:rPr>
        <w:t>验收工作</w:t>
      </w:r>
      <w:r>
        <w:rPr>
          <w:rFonts w:hint="eastAsia" w:ascii="宋体" w:hAnsi="宋体" w:cs="仿宋_GB2312"/>
          <w:spacing w:val="-8"/>
          <w:sz w:val="28"/>
          <w:szCs w:val="28"/>
          <w:highlight w:val="none"/>
          <w:lang w:val="en-US" w:eastAsia="zh-CN"/>
        </w:rPr>
        <w:t>等</w:t>
      </w:r>
      <w:r>
        <w:rPr>
          <w:rFonts w:hint="eastAsia" w:ascii="宋体" w:hAnsi="宋体" w:eastAsia="仿宋_GB2312" w:cs="仿宋_GB2312"/>
          <w:spacing w:val="-8"/>
          <w:sz w:val="28"/>
          <w:szCs w:val="28"/>
          <w:highlight w:val="none"/>
          <w:lang w:val="en-US" w:eastAsia="zh-CN"/>
        </w:rPr>
        <w:t>未完成</w:t>
      </w:r>
      <w:r>
        <w:rPr>
          <w:rFonts w:hint="eastAsia" w:ascii="宋体" w:hAnsi="宋体" w:cs="仿宋_GB2312"/>
          <w:spacing w:val="-8"/>
          <w:sz w:val="28"/>
          <w:szCs w:val="28"/>
          <w:highlight w:val="none"/>
          <w:lang w:val="en-US" w:eastAsia="zh-CN"/>
        </w:rPr>
        <w:t>，有待加快推进项目进程。</w:t>
      </w:r>
    </w:p>
    <w:p w14:paraId="1CF8591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0" w:firstLineChars="200"/>
        <w:jc w:val="both"/>
        <w:textAlignment w:val="baseline"/>
        <w:rPr>
          <w:rFonts w:hint="eastAsia" w:ascii="宋体" w:hAnsi="宋体" w:eastAsia="仿宋_GB2312" w:cs="仿宋_GB2312"/>
          <w:spacing w:val="-8"/>
          <w:sz w:val="28"/>
          <w:szCs w:val="28"/>
          <w:highlight w:val="none"/>
          <w:lang w:val="en-US" w:eastAsia="zh-CN"/>
        </w:rPr>
      </w:pPr>
      <w:r>
        <w:rPr>
          <w:rFonts w:hint="eastAsia" w:ascii="宋体" w:hAnsi="宋体" w:eastAsia="仿宋_GB2312" w:cs="仿宋_GB2312"/>
          <w:b/>
          <w:bCs/>
          <w:spacing w:val="-8"/>
          <w:sz w:val="28"/>
          <w:szCs w:val="28"/>
          <w:highlight w:val="none"/>
          <w:lang w:val="en-US" w:eastAsia="zh-CN"/>
        </w:rPr>
        <w:t>效益方面</w:t>
      </w:r>
      <w:r>
        <w:rPr>
          <w:rFonts w:hint="eastAsia" w:ascii="宋体" w:hAnsi="宋体" w:eastAsia="仿宋_GB2312" w:cs="仿宋_GB2312"/>
          <w:spacing w:val="-8"/>
          <w:sz w:val="28"/>
          <w:szCs w:val="28"/>
          <w:highlight w:val="none"/>
          <w:lang w:val="en-US" w:eastAsia="zh-CN"/>
        </w:rPr>
        <w:t>，可以改善医疗环境和布局，发展宽城区医疗卫生事业</w:t>
      </w:r>
      <w:r>
        <w:rPr>
          <w:rFonts w:hint="eastAsia" w:ascii="宋体" w:hAnsi="宋体" w:cs="仿宋_GB2312"/>
          <w:spacing w:val="-8"/>
          <w:sz w:val="28"/>
          <w:szCs w:val="28"/>
          <w:highlight w:val="none"/>
          <w:lang w:val="en-US" w:eastAsia="zh-CN"/>
        </w:rPr>
        <w:t>，</w:t>
      </w:r>
      <w:r>
        <w:rPr>
          <w:rFonts w:hint="eastAsia" w:ascii="宋体" w:hAnsi="宋体" w:eastAsia="仿宋_GB2312" w:cs="仿宋_GB2312"/>
          <w:spacing w:val="-8"/>
          <w:sz w:val="28"/>
          <w:szCs w:val="28"/>
          <w:highlight w:val="none"/>
          <w:lang w:val="en-US" w:eastAsia="zh-CN"/>
        </w:rPr>
        <w:t>能有效促进宽城区医疗卫生服务体系建设，完善服务功能、增强服务能力、提高服务质量、降低药品价格，使广大群众的疾病能及时得到医治，有地方看病，方便看病，而且价格实惠。项目的实施给宽城区人民带来福祉，产生很好的社会效益和经济效益。</w:t>
      </w:r>
    </w:p>
    <w:tbl>
      <w:tblPr>
        <w:tblStyle w:val="14"/>
        <w:tblW w:w="7904"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
        <w:gridCol w:w="1876"/>
        <w:gridCol w:w="1800"/>
        <w:gridCol w:w="2037"/>
        <w:gridCol w:w="2185"/>
        <w:gridCol w:w="3"/>
      </w:tblGrid>
      <w:tr w14:paraId="2557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340" w:hRule="atLeast"/>
        </w:trPr>
        <w:tc>
          <w:tcPr>
            <w:tcW w:w="7901" w:type="dxa"/>
            <w:gridSpan w:val="5"/>
            <w:tcBorders>
              <w:top w:val="nil"/>
              <w:left w:val="nil"/>
              <w:bottom w:val="single" w:color="auto" w:sz="4" w:space="0"/>
              <w:right w:val="nil"/>
            </w:tcBorders>
            <w:vAlign w:val="center"/>
          </w:tcPr>
          <w:p w14:paraId="6235B5A4">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b/>
                <w:bCs/>
                <w:spacing w:val="6"/>
                <w:sz w:val="18"/>
                <w:szCs w:val="18"/>
                <w:highlight w:val="none"/>
              </w:rPr>
            </w:pPr>
            <w:r>
              <w:rPr>
                <w:rFonts w:hint="eastAsia" w:ascii="宋体" w:hAnsi="宋体" w:eastAsiaTheme="minorEastAsia" w:cstheme="minorEastAsia"/>
                <w:b/>
                <w:bCs/>
                <w:spacing w:val="-6"/>
                <w:sz w:val="18"/>
                <w:szCs w:val="18"/>
                <w:highlight w:val="none"/>
                <w:lang w:val="en-US" w:eastAsia="zh-CN"/>
              </w:rPr>
              <w:t>表1：</w:t>
            </w:r>
            <w:r>
              <w:rPr>
                <w:rFonts w:hint="eastAsia" w:ascii="宋体" w:hAnsi="宋体" w:eastAsiaTheme="minorEastAsia" w:cstheme="minorEastAsia"/>
                <w:b/>
                <w:bCs/>
                <w:spacing w:val="-6"/>
                <w:sz w:val="18"/>
                <w:szCs w:val="18"/>
                <w:highlight w:val="none"/>
              </w:rPr>
              <w:t>绩效评价得分汇总表</w:t>
            </w:r>
            <w:r>
              <w:rPr>
                <w:rFonts w:hint="eastAsia" w:ascii="宋体" w:hAnsi="宋体" w:eastAsiaTheme="minorEastAsia" w:cstheme="minorEastAsia"/>
                <w:b/>
                <w:bCs/>
                <w:spacing w:val="-6"/>
                <w:sz w:val="18"/>
                <w:szCs w:val="18"/>
                <w:highlight w:val="none"/>
                <w:lang w:eastAsia="zh-CN"/>
              </w:rPr>
              <w:t>（</w:t>
            </w:r>
            <w:r>
              <w:rPr>
                <w:rFonts w:hint="eastAsia" w:ascii="宋体" w:hAnsi="宋体" w:eastAsiaTheme="minorEastAsia" w:cstheme="minorEastAsia"/>
                <w:b/>
                <w:bCs/>
                <w:spacing w:val="-6"/>
                <w:sz w:val="18"/>
                <w:szCs w:val="18"/>
                <w:highlight w:val="none"/>
              </w:rPr>
              <w:t>详见附件1)</w:t>
            </w:r>
          </w:p>
        </w:tc>
      </w:tr>
      <w:tr w14:paraId="55DFD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340" w:hRule="atLeast"/>
        </w:trPr>
        <w:tc>
          <w:tcPr>
            <w:tcW w:w="1876" w:type="dxa"/>
            <w:tcBorders>
              <w:top w:val="single" w:color="auto" w:sz="4" w:space="0"/>
            </w:tcBorders>
            <w:vAlign w:val="center"/>
          </w:tcPr>
          <w:p w14:paraId="1DA26529">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b/>
                <w:bCs/>
                <w:sz w:val="18"/>
                <w:szCs w:val="18"/>
                <w:highlight w:val="none"/>
              </w:rPr>
            </w:pPr>
            <w:r>
              <w:rPr>
                <w:rFonts w:hint="eastAsia" w:ascii="宋体" w:hAnsi="宋体" w:eastAsiaTheme="minorEastAsia" w:cstheme="minorEastAsia"/>
                <w:b/>
                <w:bCs/>
                <w:spacing w:val="4"/>
                <w:sz w:val="18"/>
                <w:szCs w:val="18"/>
                <w:highlight w:val="none"/>
              </w:rPr>
              <w:t>一级指</w:t>
            </w:r>
            <w:r>
              <w:rPr>
                <w:rFonts w:hint="eastAsia" w:ascii="宋体" w:hAnsi="宋体" w:eastAsiaTheme="minorEastAsia" w:cstheme="minorEastAsia"/>
                <w:b/>
                <w:bCs/>
                <w:spacing w:val="3"/>
                <w:sz w:val="18"/>
                <w:szCs w:val="18"/>
                <w:highlight w:val="none"/>
              </w:rPr>
              <w:t>标</w:t>
            </w:r>
          </w:p>
        </w:tc>
        <w:tc>
          <w:tcPr>
            <w:tcW w:w="1800" w:type="dxa"/>
            <w:tcBorders>
              <w:top w:val="single" w:color="auto" w:sz="4" w:space="0"/>
            </w:tcBorders>
            <w:vAlign w:val="center"/>
          </w:tcPr>
          <w:p w14:paraId="355946AC">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b/>
                <w:bCs/>
                <w:sz w:val="18"/>
                <w:szCs w:val="18"/>
                <w:highlight w:val="none"/>
              </w:rPr>
            </w:pPr>
            <w:r>
              <w:rPr>
                <w:rFonts w:hint="eastAsia" w:ascii="宋体" w:hAnsi="宋体" w:eastAsiaTheme="minorEastAsia" w:cstheme="minorEastAsia"/>
                <w:b/>
                <w:bCs/>
                <w:spacing w:val="6"/>
                <w:sz w:val="18"/>
                <w:szCs w:val="18"/>
                <w:highlight w:val="none"/>
              </w:rPr>
              <w:t>分</w:t>
            </w:r>
            <w:r>
              <w:rPr>
                <w:rFonts w:hint="eastAsia" w:ascii="宋体" w:hAnsi="宋体" w:eastAsiaTheme="minorEastAsia" w:cstheme="minorEastAsia"/>
                <w:b/>
                <w:bCs/>
                <w:spacing w:val="4"/>
                <w:sz w:val="18"/>
                <w:szCs w:val="18"/>
                <w:highlight w:val="none"/>
              </w:rPr>
              <w:t>值</w:t>
            </w:r>
          </w:p>
        </w:tc>
        <w:tc>
          <w:tcPr>
            <w:tcW w:w="2037" w:type="dxa"/>
            <w:tcBorders>
              <w:top w:val="single" w:color="auto" w:sz="4" w:space="0"/>
            </w:tcBorders>
            <w:vAlign w:val="center"/>
          </w:tcPr>
          <w:p w14:paraId="2185600B">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b/>
                <w:bCs/>
                <w:sz w:val="18"/>
                <w:szCs w:val="18"/>
                <w:highlight w:val="none"/>
              </w:rPr>
            </w:pPr>
            <w:r>
              <w:rPr>
                <w:rFonts w:hint="eastAsia" w:ascii="宋体" w:hAnsi="宋体" w:eastAsiaTheme="minorEastAsia" w:cstheme="minorEastAsia"/>
                <w:b/>
                <w:bCs/>
                <w:spacing w:val="6"/>
                <w:sz w:val="18"/>
                <w:szCs w:val="18"/>
                <w:highlight w:val="none"/>
              </w:rPr>
              <w:t>得</w:t>
            </w:r>
            <w:r>
              <w:rPr>
                <w:rFonts w:hint="eastAsia" w:ascii="宋体" w:hAnsi="宋体" w:eastAsiaTheme="minorEastAsia" w:cstheme="minorEastAsia"/>
                <w:b/>
                <w:bCs/>
                <w:spacing w:val="4"/>
                <w:sz w:val="18"/>
                <w:szCs w:val="18"/>
                <w:highlight w:val="none"/>
              </w:rPr>
              <w:t>分</w:t>
            </w:r>
          </w:p>
        </w:tc>
        <w:tc>
          <w:tcPr>
            <w:tcW w:w="2188" w:type="dxa"/>
            <w:gridSpan w:val="2"/>
            <w:tcBorders>
              <w:top w:val="single" w:color="auto" w:sz="4" w:space="0"/>
            </w:tcBorders>
            <w:vAlign w:val="center"/>
          </w:tcPr>
          <w:p w14:paraId="5AFD7D83">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b/>
                <w:bCs/>
                <w:sz w:val="18"/>
                <w:szCs w:val="18"/>
                <w:highlight w:val="none"/>
              </w:rPr>
            </w:pPr>
            <w:r>
              <w:rPr>
                <w:rFonts w:hint="eastAsia" w:ascii="宋体" w:hAnsi="宋体" w:eastAsiaTheme="minorEastAsia" w:cstheme="minorEastAsia"/>
                <w:b/>
                <w:bCs/>
                <w:spacing w:val="6"/>
                <w:sz w:val="18"/>
                <w:szCs w:val="18"/>
                <w:highlight w:val="none"/>
              </w:rPr>
              <w:t>得</w:t>
            </w:r>
            <w:r>
              <w:rPr>
                <w:rFonts w:hint="eastAsia" w:ascii="宋体" w:hAnsi="宋体" w:eastAsiaTheme="minorEastAsia" w:cstheme="minorEastAsia"/>
                <w:b/>
                <w:bCs/>
                <w:spacing w:val="5"/>
                <w:sz w:val="18"/>
                <w:szCs w:val="18"/>
                <w:highlight w:val="none"/>
              </w:rPr>
              <w:t>分率</w:t>
            </w:r>
          </w:p>
        </w:tc>
      </w:tr>
      <w:tr w14:paraId="03DC3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340" w:hRule="atLeast"/>
        </w:trPr>
        <w:tc>
          <w:tcPr>
            <w:tcW w:w="1876" w:type="dxa"/>
            <w:vAlign w:val="center"/>
          </w:tcPr>
          <w:p w14:paraId="5E27D480">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z w:val="18"/>
                <w:szCs w:val="18"/>
                <w:highlight w:val="none"/>
              </w:rPr>
            </w:pPr>
            <w:r>
              <w:rPr>
                <w:rFonts w:hint="eastAsia" w:ascii="宋体" w:hAnsi="宋体" w:eastAsiaTheme="minorEastAsia" w:cstheme="minorEastAsia"/>
                <w:spacing w:val="5"/>
                <w:sz w:val="18"/>
                <w:szCs w:val="18"/>
                <w:highlight w:val="none"/>
              </w:rPr>
              <w:t>决</w:t>
            </w:r>
            <w:r>
              <w:rPr>
                <w:rFonts w:hint="eastAsia" w:ascii="宋体" w:hAnsi="宋体" w:eastAsiaTheme="minorEastAsia" w:cstheme="minorEastAsia"/>
                <w:spacing w:val="4"/>
                <w:sz w:val="18"/>
                <w:szCs w:val="18"/>
                <w:highlight w:val="none"/>
              </w:rPr>
              <w:t>策</w:t>
            </w:r>
          </w:p>
        </w:tc>
        <w:tc>
          <w:tcPr>
            <w:tcW w:w="1800" w:type="dxa"/>
            <w:vAlign w:val="center"/>
          </w:tcPr>
          <w:p w14:paraId="7BAB35B0">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default" w:ascii="宋体" w:hAnsi="宋体" w:eastAsiaTheme="minorEastAsia" w:cstheme="minorEastAsia"/>
                <w:sz w:val="18"/>
                <w:szCs w:val="18"/>
                <w:highlight w:val="none"/>
                <w:lang w:val="en-US" w:eastAsia="zh-CN"/>
              </w:rPr>
            </w:pPr>
            <w:r>
              <w:rPr>
                <w:rFonts w:hint="eastAsia" w:ascii="宋体" w:hAnsi="宋体" w:eastAsiaTheme="minorEastAsia" w:cstheme="minorEastAsia"/>
                <w:spacing w:val="-5"/>
                <w:sz w:val="18"/>
                <w:szCs w:val="18"/>
                <w:highlight w:val="none"/>
                <w:lang w:val="en-US" w:eastAsia="zh-CN"/>
              </w:rPr>
              <w:t>25</w:t>
            </w:r>
          </w:p>
        </w:tc>
        <w:tc>
          <w:tcPr>
            <w:tcW w:w="2037" w:type="dxa"/>
            <w:vAlign w:val="center"/>
          </w:tcPr>
          <w:p w14:paraId="12BBD2FE">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default" w:ascii="宋体" w:hAnsi="宋体" w:eastAsiaTheme="minorEastAsia" w:cstheme="minorEastAsia"/>
                <w:spacing w:val="-4"/>
                <w:sz w:val="18"/>
                <w:szCs w:val="18"/>
                <w:highlight w:val="none"/>
                <w:lang w:val="en-US" w:eastAsia="zh-CN"/>
              </w:rPr>
            </w:pPr>
            <w:r>
              <w:rPr>
                <w:rFonts w:hint="eastAsia" w:ascii="宋体" w:hAnsi="宋体" w:eastAsiaTheme="minorEastAsia" w:cstheme="minorEastAsia"/>
                <w:spacing w:val="-4"/>
                <w:sz w:val="18"/>
                <w:szCs w:val="18"/>
                <w:highlight w:val="none"/>
                <w:lang w:val="en-US" w:eastAsia="zh-CN"/>
              </w:rPr>
              <w:t>25</w:t>
            </w:r>
          </w:p>
        </w:tc>
        <w:tc>
          <w:tcPr>
            <w:tcW w:w="2188" w:type="dxa"/>
            <w:gridSpan w:val="2"/>
            <w:vAlign w:val="center"/>
          </w:tcPr>
          <w:p w14:paraId="41BF0EBD">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pacing w:val="-4"/>
                <w:sz w:val="18"/>
                <w:szCs w:val="18"/>
                <w:highlight w:val="none"/>
                <w:lang w:val="en-US" w:eastAsia="zh-CN"/>
              </w:rPr>
            </w:pPr>
            <w:r>
              <w:rPr>
                <w:rFonts w:hint="eastAsia" w:ascii="宋体" w:hAnsi="宋体" w:eastAsiaTheme="minorEastAsia" w:cstheme="minorEastAsia"/>
                <w:spacing w:val="-4"/>
                <w:sz w:val="18"/>
                <w:szCs w:val="18"/>
                <w:highlight w:val="none"/>
                <w:lang w:val="en-US" w:eastAsia="zh-CN"/>
              </w:rPr>
              <w:t>100.00%</w:t>
            </w:r>
          </w:p>
        </w:tc>
      </w:tr>
      <w:tr w14:paraId="6B49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3" w:type="dxa"/>
          <w:trHeight w:val="340" w:hRule="atLeast"/>
        </w:trPr>
        <w:tc>
          <w:tcPr>
            <w:tcW w:w="1876" w:type="dxa"/>
            <w:vAlign w:val="center"/>
          </w:tcPr>
          <w:p w14:paraId="2638781C">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z w:val="18"/>
                <w:szCs w:val="18"/>
                <w:highlight w:val="none"/>
                <w:lang w:eastAsia="zh-CN"/>
              </w:rPr>
            </w:pPr>
            <w:r>
              <w:rPr>
                <w:rFonts w:hint="eastAsia" w:ascii="宋体" w:hAnsi="宋体" w:eastAsiaTheme="minorEastAsia" w:cstheme="minorEastAsia"/>
                <w:spacing w:val="4"/>
                <w:sz w:val="18"/>
                <w:szCs w:val="18"/>
                <w:highlight w:val="none"/>
                <w:lang w:val="en-US" w:eastAsia="zh-CN"/>
              </w:rPr>
              <w:t>管理</w:t>
            </w:r>
          </w:p>
        </w:tc>
        <w:tc>
          <w:tcPr>
            <w:tcW w:w="1800" w:type="dxa"/>
            <w:vAlign w:val="center"/>
          </w:tcPr>
          <w:p w14:paraId="798F2124">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z w:val="18"/>
                <w:szCs w:val="18"/>
                <w:highlight w:val="none"/>
              </w:rPr>
            </w:pPr>
            <w:r>
              <w:rPr>
                <w:rFonts w:hint="eastAsia" w:ascii="宋体" w:hAnsi="宋体" w:eastAsiaTheme="minorEastAsia" w:cstheme="minorEastAsia"/>
                <w:spacing w:val="-5"/>
                <w:sz w:val="18"/>
                <w:szCs w:val="18"/>
                <w:highlight w:val="none"/>
              </w:rPr>
              <w:t>2</w:t>
            </w:r>
            <w:r>
              <w:rPr>
                <w:rFonts w:hint="eastAsia" w:ascii="宋体" w:hAnsi="宋体" w:eastAsiaTheme="minorEastAsia" w:cstheme="minorEastAsia"/>
                <w:spacing w:val="-4"/>
                <w:sz w:val="18"/>
                <w:szCs w:val="18"/>
                <w:highlight w:val="none"/>
              </w:rPr>
              <w:t>0</w:t>
            </w:r>
          </w:p>
        </w:tc>
        <w:tc>
          <w:tcPr>
            <w:tcW w:w="2037" w:type="dxa"/>
            <w:vAlign w:val="center"/>
          </w:tcPr>
          <w:p w14:paraId="4A66AEEE">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default" w:ascii="宋体" w:hAnsi="宋体" w:eastAsiaTheme="minorEastAsia" w:cstheme="minorEastAsia"/>
                <w:spacing w:val="-4"/>
                <w:sz w:val="18"/>
                <w:szCs w:val="18"/>
                <w:highlight w:val="none"/>
                <w:lang w:val="en-US" w:eastAsia="zh-CN"/>
              </w:rPr>
            </w:pPr>
            <w:r>
              <w:rPr>
                <w:rFonts w:hint="eastAsia" w:ascii="宋体" w:hAnsi="宋体" w:eastAsiaTheme="minorEastAsia" w:cstheme="minorEastAsia"/>
                <w:spacing w:val="-4"/>
                <w:sz w:val="18"/>
                <w:szCs w:val="18"/>
                <w:highlight w:val="none"/>
                <w:lang w:val="en-US" w:eastAsia="zh-CN"/>
              </w:rPr>
              <w:t>18.5</w:t>
            </w:r>
          </w:p>
        </w:tc>
        <w:tc>
          <w:tcPr>
            <w:tcW w:w="2188" w:type="dxa"/>
            <w:gridSpan w:val="2"/>
            <w:vAlign w:val="center"/>
          </w:tcPr>
          <w:p w14:paraId="6BE66DFD">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pacing w:val="-4"/>
                <w:sz w:val="18"/>
                <w:szCs w:val="18"/>
                <w:highlight w:val="none"/>
                <w:lang w:val="en-US" w:eastAsia="zh-CN"/>
              </w:rPr>
            </w:pPr>
            <w:r>
              <w:rPr>
                <w:rFonts w:hint="eastAsia" w:ascii="宋体" w:hAnsi="宋体" w:eastAsiaTheme="minorEastAsia" w:cstheme="minorEastAsia"/>
                <w:spacing w:val="-4"/>
                <w:sz w:val="18"/>
                <w:szCs w:val="18"/>
                <w:highlight w:val="none"/>
                <w:lang w:val="en-US" w:eastAsia="zh-CN"/>
              </w:rPr>
              <w:t>92.50%</w:t>
            </w:r>
          </w:p>
        </w:tc>
      </w:tr>
      <w:tr w14:paraId="6DE3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40" w:hRule="atLeast"/>
        </w:trPr>
        <w:tc>
          <w:tcPr>
            <w:tcW w:w="1879" w:type="dxa"/>
            <w:gridSpan w:val="2"/>
            <w:vAlign w:val="center"/>
          </w:tcPr>
          <w:p w14:paraId="5CF2DEDB">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z w:val="18"/>
                <w:szCs w:val="18"/>
                <w:highlight w:val="none"/>
              </w:rPr>
            </w:pPr>
            <w:bookmarkStart w:id="72" w:name="_bookmark17"/>
            <w:bookmarkEnd w:id="72"/>
            <w:bookmarkStart w:id="73" w:name="_bookmark19"/>
            <w:bookmarkEnd w:id="73"/>
            <w:r>
              <w:rPr>
                <w:rFonts w:hint="eastAsia" w:ascii="宋体" w:hAnsi="宋体" w:eastAsiaTheme="minorEastAsia" w:cstheme="minorEastAsia"/>
                <w:spacing w:val="14"/>
                <w:sz w:val="18"/>
                <w:szCs w:val="18"/>
                <w:highlight w:val="none"/>
              </w:rPr>
              <w:t>产</w:t>
            </w:r>
            <w:r>
              <w:rPr>
                <w:rFonts w:hint="eastAsia" w:ascii="宋体" w:hAnsi="宋体" w:eastAsiaTheme="minorEastAsia" w:cstheme="minorEastAsia"/>
                <w:spacing w:val="12"/>
                <w:sz w:val="18"/>
                <w:szCs w:val="18"/>
                <w:highlight w:val="none"/>
              </w:rPr>
              <w:t>出</w:t>
            </w:r>
          </w:p>
        </w:tc>
        <w:tc>
          <w:tcPr>
            <w:tcW w:w="1800" w:type="dxa"/>
            <w:vAlign w:val="center"/>
          </w:tcPr>
          <w:p w14:paraId="3AEF5248">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z w:val="18"/>
                <w:szCs w:val="18"/>
                <w:highlight w:val="none"/>
                <w:lang w:val="en-US" w:eastAsia="zh-CN"/>
              </w:rPr>
            </w:pPr>
            <w:r>
              <w:rPr>
                <w:rFonts w:hint="eastAsia" w:ascii="宋体" w:hAnsi="宋体" w:eastAsiaTheme="minorEastAsia" w:cstheme="minorEastAsia"/>
                <w:spacing w:val="-10"/>
                <w:sz w:val="18"/>
                <w:szCs w:val="18"/>
                <w:highlight w:val="none"/>
              </w:rPr>
              <w:t>3</w:t>
            </w:r>
            <w:r>
              <w:rPr>
                <w:rFonts w:hint="eastAsia" w:ascii="宋体" w:hAnsi="宋体" w:eastAsiaTheme="minorEastAsia" w:cstheme="minorEastAsia"/>
                <w:spacing w:val="-10"/>
                <w:sz w:val="18"/>
                <w:szCs w:val="18"/>
                <w:highlight w:val="none"/>
                <w:lang w:val="en-US" w:eastAsia="zh-CN"/>
              </w:rPr>
              <w:t>5</w:t>
            </w:r>
          </w:p>
        </w:tc>
        <w:tc>
          <w:tcPr>
            <w:tcW w:w="2037" w:type="dxa"/>
            <w:vAlign w:val="center"/>
          </w:tcPr>
          <w:p w14:paraId="2B89D3B9">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default" w:ascii="宋体" w:hAnsi="宋体" w:eastAsiaTheme="minorEastAsia" w:cstheme="minorEastAsia"/>
                <w:spacing w:val="-4"/>
                <w:sz w:val="18"/>
                <w:szCs w:val="18"/>
                <w:highlight w:val="none"/>
                <w:lang w:val="en-US" w:eastAsia="zh-CN"/>
              </w:rPr>
            </w:pPr>
            <w:r>
              <w:rPr>
                <w:rFonts w:hint="eastAsia" w:ascii="宋体" w:hAnsi="宋体" w:eastAsiaTheme="minorEastAsia" w:cstheme="minorEastAsia"/>
                <w:spacing w:val="-4"/>
                <w:sz w:val="18"/>
                <w:szCs w:val="18"/>
                <w:highlight w:val="none"/>
                <w:lang w:val="en-US" w:eastAsia="zh-CN"/>
              </w:rPr>
              <w:t>28</w:t>
            </w:r>
          </w:p>
        </w:tc>
        <w:tc>
          <w:tcPr>
            <w:tcW w:w="2185" w:type="dxa"/>
            <w:vAlign w:val="center"/>
          </w:tcPr>
          <w:p w14:paraId="1E9D53A8">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default" w:ascii="宋体" w:hAnsi="宋体" w:eastAsiaTheme="minorEastAsia" w:cstheme="minorEastAsia"/>
                <w:spacing w:val="-4"/>
                <w:sz w:val="18"/>
                <w:szCs w:val="18"/>
                <w:highlight w:val="none"/>
                <w:lang w:val="en-US" w:eastAsia="zh-CN"/>
              </w:rPr>
            </w:pPr>
            <w:r>
              <w:rPr>
                <w:rFonts w:hint="eastAsia" w:ascii="宋体" w:hAnsi="宋体" w:eastAsiaTheme="minorEastAsia" w:cstheme="minorEastAsia"/>
                <w:spacing w:val="-4"/>
                <w:sz w:val="18"/>
                <w:szCs w:val="18"/>
                <w:highlight w:val="none"/>
                <w:lang w:val="en-US" w:eastAsia="zh-CN"/>
              </w:rPr>
              <w:t>80.00%</w:t>
            </w:r>
          </w:p>
        </w:tc>
      </w:tr>
      <w:tr w14:paraId="67A31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40" w:hRule="atLeast"/>
        </w:trPr>
        <w:tc>
          <w:tcPr>
            <w:tcW w:w="1879" w:type="dxa"/>
            <w:gridSpan w:val="2"/>
            <w:vAlign w:val="center"/>
          </w:tcPr>
          <w:p w14:paraId="1364F1DE">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z w:val="18"/>
                <w:szCs w:val="18"/>
                <w:highlight w:val="none"/>
                <w:lang w:eastAsia="zh-CN"/>
              </w:rPr>
            </w:pPr>
            <w:r>
              <w:rPr>
                <w:rFonts w:hint="eastAsia" w:ascii="宋体" w:hAnsi="宋体" w:eastAsiaTheme="minorEastAsia" w:cstheme="minorEastAsia"/>
                <w:spacing w:val="5"/>
                <w:sz w:val="18"/>
                <w:szCs w:val="18"/>
                <w:highlight w:val="none"/>
              </w:rPr>
              <w:t>效</w:t>
            </w:r>
            <w:r>
              <w:rPr>
                <w:rFonts w:hint="eastAsia" w:ascii="宋体" w:hAnsi="宋体" w:eastAsiaTheme="minorEastAsia" w:cstheme="minorEastAsia"/>
                <w:spacing w:val="3"/>
                <w:sz w:val="18"/>
                <w:szCs w:val="18"/>
                <w:highlight w:val="none"/>
                <w:lang w:val="en-US" w:eastAsia="zh-CN"/>
              </w:rPr>
              <w:t>益</w:t>
            </w:r>
          </w:p>
        </w:tc>
        <w:tc>
          <w:tcPr>
            <w:tcW w:w="1800" w:type="dxa"/>
            <w:vAlign w:val="center"/>
          </w:tcPr>
          <w:p w14:paraId="511D7AD3">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default" w:ascii="宋体" w:hAnsi="宋体" w:eastAsiaTheme="minorEastAsia" w:cstheme="minorEastAsia"/>
                <w:sz w:val="18"/>
                <w:szCs w:val="18"/>
                <w:highlight w:val="none"/>
                <w:lang w:val="en-US" w:eastAsia="zh-CN"/>
              </w:rPr>
            </w:pPr>
            <w:r>
              <w:rPr>
                <w:rFonts w:hint="eastAsia" w:ascii="宋体" w:hAnsi="宋体" w:eastAsiaTheme="minorEastAsia" w:cstheme="minorEastAsia"/>
                <w:spacing w:val="-5"/>
                <w:sz w:val="18"/>
                <w:szCs w:val="18"/>
                <w:highlight w:val="none"/>
                <w:lang w:val="en-US" w:eastAsia="zh-CN"/>
              </w:rPr>
              <w:t>20</w:t>
            </w:r>
          </w:p>
        </w:tc>
        <w:tc>
          <w:tcPr>
            <w:tcW w:w="2037" w:type="dxa"/>
            <w:vAlign w:val="center"/>
          </w:tcPr>
          <w:p w14:paraId="002723BF">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pacing w:val="-4"/>
                <w:sz w:val="18"/>
                <w:szCs w:val="18"/>
                <w:highlight w:val="none"/>
                <w:lang w:val="en-US" w:eastAsia="zh-CN"/>
              </w:rPr>
            </w:pPr>
            <w:r>
              <w:rPr>
                <w:rFonts w:hint="eastAsia" w:ascii="宋体" w:hAnsi="宋体" w:eastAsiaTheme="minorEastAsia" w:cstheme="minorEastAsia"/>
                <w:spacing w:val="-4"/>
                <w:sz w:val="18"/>
                <w:szCs w:val="18"/>
                <w:highlight w:val="none"/>
                <w:lang w:val="en-US" w:eastAsia="zh-CN"/>
              </w:rPr>
              <w:t>20</w:t>
            </w:r>
          </w:p>
        </w:tc>
        <w:tc>
          <w:tcPr>
            <w:tcW w:w="2185" w:type="dxa"/>
            <w:vAlign w:val="center"/>
          </w:tcPr>
          <w:p w14:paraId="18152A61">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spacing w:val="-4"/>
                <w:sz w:val="18"/>
                <w:szCs w:val="18"/>
                <w:highlight w:val="none"/>
                <w:lang w:val="en-US" w:eastAsia="zh-CN"/>
              </w:rPr>
            </w:pPr>
            <w:r>
              <w:rPr>
                <w:rFonts w:hint="eastAsia" w:ascii="宋体" w:hAnsi="宋体" w:eastAsiaTheme="minorEastAsia" w:cstheme="minorEastAsia"/>
                <w:spacing w:val="-4"/>
                <w:sz w:val="18"/>
                <w:szCs w:val="18"/>
                <w:highlight w:val="none"/>
                <w:lang w:val="en-US" w:eastAsia="zh-CN"/>
              </w:rPr>
              <w:t>100.00%</w:t>
            </w:r>
          </w:p>
        </w:tc>
      </w:tr>
      <w:tr w14:paraId="1166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40" w:hRule="atLeast"/>
        </w:trPr>
        <w:tc>
          <w:tcPr>
            <w:tcW w:w="1879" w:type="dxa"/>
            <w:gridSpan w:val="2"/>
            <w:vAlign w:val="center"/>
          </w:tcPr>
          <w:p w14:paraId="17F6CA07">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b/>
                <w:bCs/>
                <w:sz w:val="18"/>
                <w:szCs w:val="18"/>
                <w:highlight w:val="none"/>
              </w:rPr>
            </w:pPr>
            <w:r>
              <w:rPr>
                <w:rFonts w:hint="eastAsia" w:ascii="宋体" w:hAnsi="宋体" w:eastAsiaTheme="minorEastAsia" w:cstheme="minorEastAsia"/>
                <w:b/>
                <w:bCs/>
                <w:spacing w:val="7"/>
                <w:sz w:val="18"/>
                <w:szCs w:val="18"/>
                <w:highlight w:val="none"/>
              </w:rPr>
              <w:t>合</w:t>
            </w:r>
            <w:r>
              <w:rPr>
                <w:rFonts w:hint="eastAsia" w:ascii="宋体" w:hAnsi="宋体" w:eastAsiaTheme="minorEastAsia" w:cstheme="minorEastAsia"/>
                <w:b/>
                <w:bCs/>
                <w:spacing w:val="5"/>
                <w:sz w:val="18"/>
                <w:szCs w:val="18"/>
                <w:highlight w:val="none"/>
              </w:rPr>
              <w:t>计</w:t>
            </w:r>
          </w:p>
        </w:tc>
        <w:tc>
          <w:tcPr>
            <w:tcW w:w="1800" w:type="dxa"/>
            <w:vAlign w:val="center"/>
          </w:tcPr>
          <w:p w14:paraId="7DAAB54D">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eastAsia" w:ascii="宋体" w:hAnsi="宋体" w:eastAsiaTheme="minorEastAsia" w:cstheme="minorEastAsia"/>
                <w:b/>
                <w:bCs/>
                <w:sz w:val="18"/>
                <w:szCs w:val="18"/>
                <w:highlight w:val="none"/>
              </w:rPr>
            </w:pPr>
            <w:r>
              <w:rPr>
                <w:rFonts w:hint="eastAsia" w:ascii="宋体" w:hAnsi="宋体" w:eastAsiaTheme="minorEastAsia" w:cstheme="minorEastAsia"/>
                <w:b/>
                <w:bCs/>
                <w:spacing w:val="-4"/>
                <w:sz w:val="18"/>
                <w:szCs w:val="18"/>
                <w:highlight w:val="none"/>
              </w:rPr>
              <w:t>1</w:t>
            </w:r>
            <w:r>
              <w:rPr>
                <w:rFonts w:hint="eastAsia" w:ascii="宋体" w:hAnsi="宋体" w:eastAsiaTheme="minorEastAsia" w:cstheme="minorEastAsia"/>
                <w:b/>
                <w:bCs/>
                <w:spacing w:val="-3"/>
                <w:sz w:val="18"/>
                <w:szCs w:val="18"/>
                <w:highlight w:val="none"/>
              </w:rPr>
              <w:t>00</w:t>
            </w:r>
          </w:p>
        </w:tc>
        <w:tc>
          <w:tcPr>
            <w:tcW w:w="2037" w:type="dxa"/>
            <w:vAlign w:val="center"/>
          </w:tcPr>
          <w:p w14:paraId="2CE29CA5">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default" w:ascii="宋体" w:hAnsi="宋体" w:eastAsiaTheme="minorEastAsia" w:cstheme="minorEastAsia"/>
                <w:b/>
                <w:bCs/>
                <w:spacing w:val="-4"/>
                <w:sz w:val="18"/>
                <w:szCs w:val="18"/>
                <w:highlight w:val="none"/>
                <w:lang w:val="en-US" w:eastAsia="zh-CN"/>
              </w:rPr>
            </w:pPr>
            <w:r>
              <w:rPr>
                <w:rFonts w:hint="eastAsia" w:ascii="宋体" w:hAnsi="宋体" w:eastAsiaTheme="minorEastAsia" w:cstheme="minorEastAsia"/>
                <w:b/>
                <w:bCs/>
                <w:spacing w:val="-4"/>
                <w:sz w:val="18"/>
                <w:szCs w:val="18"/>
                <w:highlight w:val="none"/>
                <w:lang w:val="en-US" w:eastAsia="zh-CN"/>
              </w:rPr>
              <w:t>91.5</w:t>
            </w:r>
          </w:p>
        </w:tc>
        <w:tc>
          <w:tcPr>
            <w:tcW w:w="2185" w:type="dxa"/>
            <w:vAlign w:val="center"/>
          </w:tcPr>
          <w:p w14:paraId="1607ABE0">
            <w:pPr>
              <w:keepNext w:val="0"/>
              <w:keepLines w:val="0"/>
              <w:pageBreakBefore w:val="0"/>
              <w:widowControl w:val="0"/>
              <w:kinsoku w:val="0"/>
              <w:wordWrap/>
              <w:overflowPunct/>
              <w:topLinePunct w:val="0"/>
              <w:autoSpaceDE w:val="0"/>
              <w:autoSpaceDN w:val="0"/>
              <w:bidi w:val="0"/>
              <w:adjustRightInd w:val="0"/>
              <w:snapToGrid w:val="0"/>
              <w:spacing w:line="240" w:lineRule="exact"/>
              <w:ind w:left="0" w:firstLine="0" w:firstLineChars="0"/>
              <w:jc w:val="center"/>
              <w:textAlignment w:val="baseline"/>
              <w:rPr>
                <w:rFonts w:hint="default" w:ascii="宋体" w:hAnsi="宋体" w:eastAsiaTheme="minorEastAsia" w:cstheme="minorEastAsia"/>
                <w:b/>
                <w:bCs/>
                <w:spacing w:val="-4"/>
                <w:sz w:val="18"/>
                <w:szCs w:val="18"/>
                <w:highlight w:val="none"/>
                <w:lang w:val="en-US" w:eastAsia="zh-CN"/>
              </w:rPr>
            </w:pPr>
            <w:r>
              <w:rPr>
                <w:rFonts w:hint="eastAsia" w:ascii="宋体" w:hAnsi="宋体" w:eastAsiaTheme="minorEastAsia" w:cstheme="minorEastAsia"/>
                <w:b/>
                <w:bCs/>
                <w:spacing w:val="-4"/>
                <w:sz w:val="18"/>
                <w:szCs w:val="18"/>
                <w:highlight w:val="none"/>
                <w:lang w:val="en-US" w:eastAsia="zh-CN"/>
              </w:rPr>
              <w:t>91.50%</w:t>
            </w:r>
          </w:p>
        </w:tc>
      </w:tr>
    </w:tbl>
    <w:p w14:paraId="6A749060">
      <w:pPr>
        <w:pStyle w:val="2"/>
        <w:keepNext/>
        <w:keepLines/>
        <w:pageBreakBefore w:val="0"/>
        <w:widowControl/>
        <w:kinsoku w:val="0"/>
        <w:wordWrap/>
        <w:overflowPunct/>
        <w:topLinePunct w:val="0"/>
        <w:autoSpaceDE w:val="0"/>
        <w:autoSpaceDN w:val="0"/>
        <w:bidi w:val="0"/>
        <w:adjustRightInd w:val="0"/>
        <w:snapToGrid w:val="0"/>
        <w:spacing w:before="0" w:beforeLines="50"/>
        <w:jc w:val="both"/>
        <w:textAlignment w:val="baseline"/>
        <w:rPr>
          <w:rFonts w:hint="eastAsia" w:ascii="宋体" w:hAnsi="宋体"/>
          <w:sz w:val="28"/>
          <w:szCs w:val="28"/>
        </w:rPr>
      </w:pPr>
      <w:bookmarkStart w:id="74" w:name="_bookmark9"/>
      <w:bookmarkEnd w:id="74"/>
      <w:bookmarkStart w:id="75" w:name="_Toc7377"/>
      <w:r>
        <w:rPr>
          <w:rFonts w:hint="eastAsia" w:ascii="宋体" w:hAnsi="宋体"/>
          <w:sz w:val="28"/>
          <w:szCs w:val="28"/>
        </w:rPr>
        <w:t>四、绩效评价指标分析</w:t>
      </w:r>
      <w:bookmarkEnd w:id="75"/>
    </w:p>
    <w:p w14:paraId="4D69DE94">
      <w:pPr>
        <w:pStyle w:val="3"/>
        <w:pageBreakBefore w:val="0"/>
        <w:wordWrap/>
        <w:overflowPunct/>
        <w:topLinePunct w:val="0"/>
        <w:bidi w:val="0"/>
        <w:jc w:val="both"/>
        <w:textAlignment w:val="baseline"/>
        <w:rPr>
          <w:rFonts w:hint="eastAsia" w:ascii="宋体" w:hAnsi="宋体"/>
          <w:sz w:val="28"/>
          <w:szCs w:val="28"/>
        </w:rPr>
      </w:pPr>
      <w:bookmarkStart w:id="76" w:name="_bookmark15"/>
      <w:bookmarkEnd w:id="76"/>
      <w:bookmarkStart w:id="77" w:name="_bookmark14"/>
      <w:bookmarkEnd w:id="77"/>
      <w:bookmarkStart w:id="78" w:name="_bookmark10"/>
      <w:bookmarkEnd w:id="78"/>
      <w:bookmarkStart w:id="79" w:name="_Toc21959"/>
      <w:r>
        <w:rPr>
          <w:rFonts w:hint="eastAsia" w:ascii="宋体" w:hAnsi="宋体"/>
          <w:sz w:val="28"/>
          <w:szCs w:val="28"/>
        </w:rPr>
        <w:t>（一）决策情况分析</w:t>
      </w:r>
      <w:bookmarkEnd w:id="79"/>
    </w:p>
    <w:p w14:paraId="2B969FC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spacing w:val="6"/>
          <w:sz w:val="28"/>
          <w:szCs w:val="28"/>
        </w:rPr>
      </w:pPr>
      <w:r>
        <w:rPr>
          <w:rFonts w:hint="eastAsia" w:ascii="宋体" w:hAnsi="宋体" w:eastAsia="仿宋_GB2312" w:cs="仿宋_GB2312"/>
          <w:i w:val="0"/>
          <w:iCs w:val="0"/>
          <w:caps w:val="0"/>
          <w:color w:val="333333"/>
          <w:spacing w:val="6"/>
          <w:sz w:val="28"/>
          <w:szCs w:val="28"/>
          <w:shd w:val="clear" w:fill="FFFFFF"/>
        </w:rPr>
        <w:t>“决策”指标涉及二级指标3个，三级指标</w:t>
      </w:r>
      <w:r>
        <w:rPr>
          <w:rFonts w:hint="eastAsia" w:ascii="宋体" w:hAnsi="宋体" w:cs="仿宋_GB2312"/>
          <w:i w:val="0"/>
          <w:iCs w:val="0"/>
          <w:caps w:val="0"/>
          <w:color w:val="333333"/>
          <w:spacing w:val="6"/>
          <w:sz w:val="28"/>
          <w:szCs w:val="28"/>
          <w:shd w:val="clear" w:fill="FFFFFF"/>
          <w:lang w:val="en-US" w:eastAsia="zh-CN"/>
        </w:rPr>
        <w:t>6</w:t>
      </w:r>
      <w:r>
        <w:rPr>
          <w:rFonts w:hint="eastAsia" w:ascii="宋体" w:hAnsi="宋体" w:eastAsia="仿宋_GB2312" w:cs="仿宋_GB2312"/>
          <w:i w:val="0"/>
          <w:iCs w:val="0"/>
          <w:caps w:val="0"/>
          <w:color w:val="333333"/>
          <w:spacing w:val="6"/>
          <w:sz w:val="28"/>
          <w:szCs w:val="28"/>
          <w:shd w:val="clear" w:fill="FFFFFF"/>
        </w:rPr>
        <w:t>个。总分值为</w:t>
      </w:r>
      <w:r>
        <w:rPr>
          <w:rFonts w:hint="eastAsia" w:ascii="宋体" w:hAnsi="宋体" w:cs="仿宋_GB2312"/>
          <w:i w:val="0"/>
          <w:iCs w:val="0"/>
          <w:caps w:val="0"/>
          <w:color w:val="333333"/>
          <w:spacing w:val="6"/>
          <w:sz w:val="28"/>
          <w:szCs w:val="28"/>
          <w:shd w:val="clear" w:fill="FFFFFF"/>
          <w:lang w:val="en-US" w:eastAsia="zh-CN"/>
        </w:rPr>
        <w:t>25</w:t>
      </w:r>
      <w:r>
        <w:rPr>
          <w:rFonts w:hint="eastAsia" w:ascii="宋体" w:hAnsi="宋体" w:eastAsia="仿宋_GB2312" w:cs="仿宋_GB2312"/>
          <w:i w:val="0"/>
          <w:iCs w:val="0"/>
          <w:caps w:val="0"/>
          <w:color w:val="333333"/>
          <w:spacing w:val="6"/>
          <w:sz w:val="28"/>
          <w:szCs w:val="28"/>
          <w:shd w:val="clear" w:fill="FFFFFF"/>
        </w:rPr>
        <w:t>分，得分</w:t>
      </w:r>
      <w:r>
        <w:rPr>
          <w:rFonts w:hint="eastAsia" w:ascii="宋体" w:hAnsi="宋体" w:cs="仿宋_GB2312"/>
          <w:i w:val="0"/>
          <w:iCs w:val="0"/>
          <w:caps w:val="0"/>
          <w:color w:val="333333"/>
          <w:spacing w:val="6"/>
          <w:sz w:val="28"/>
          <w:szCs w:val="28"/>
          <w:shd w:val="clear" w:fill="FFFFFF"/>
          <w:lang w:val="en-US" w:eastAsia="zh-CN"/>
        </w:rPr>
        <w:t>25</w:t>
      </w:r>
      <w:r>
        <w:rPr>
          <w:rFonts w:hint="eastAsia" w:ascii="宋体" w:hAnsi="宋体" w:eastAsia="仿宋_GB2312" w:cs="仿宋_GB2312"/>
          <w:i w:val="0"/>
          <w:iCs w:val="0"/>
          <w:caps w:val="0"/>
          <w:color w:val="333333"/>
          <w:spacing w:val="6"/>
          <w:sz w:val="28"/>
          <w:szCs w:val="28"/>
          <w:shd w:val="clear" w:fill="FFFFFF"/>
        </w:rPr>
        <w:t>分，得分率为</w:t>
      </w:r>
      <w:r>
        <w:rPr>
          <w:rFonts w:hint="eastAsia" w:ascii="宋体" w:hAnsi="宋体" w:cs="仿宋_GB2312"/>
          <w:i w:val="0"/>
          <w:iCs w:val="0"/>
          <w:caps w:val="0"/>
          <w:color w:val="333333"/>
          <w:spacing w:val="6"/>
          <w:sz w:val="28"/>
          <w:szCs w:val="28"/>
          <w:shd w:val="clear" w:fill="FFFFFF"/>
          <w:lang w:val="en-US" w:eastAsia="zh-CN"/>
        </w:rPr>
        <w:t>100</w:t>
      </w:r>
      <w:r>
        <w:rPr>
          <w:rFonts w:hint="eastAsia" w:ascii="宋体" w:hAnsi="宋体" w:eastAsia="仿宋_GB2312" w:cs="仿宋_GB2312"/>
          <w:i w:val="0"/>
          <w:iCs w:val="0"/>
          <w:caps w:val="0"/>
          <w:color w:val="333333"/>
          <w:spacing w:val="6"/>
          <w:sz w:val="28"/>
          <w:szCs w:val="28"/>
          <w:shd w:val="clear" w:fill="FFFFFF"/>
        </w:rPr>
        <w:t>%。</w:t>
      </w:r>
    </w:p>
    <w:p w14:paraId="48A35B6F">
      <w:pPr>
        <w:pStyle w:val="4"/>
        <w:pageBreakBefore w:val="0"/>
        <w:wordWrap/>
        <w:overflowPunct/>
        <w:topLinePunct w:val="0"/>
        <w:bidi w:val="0"/>
        <w:jc w:val="both"/>
        <w:textAlignment w:val="baseline"/>
        <w:rPr>
          <w:rFonts w:hint="eastAsia" w:ascii="宋体" w:hAnsi="宋体"/>
          <w:sz w:val="28"/>
          <w:szCs w:val="28"/>
          <w:lang w:eastAsia="zh-CN"/>
        </w:rPr>
      </w:pPr>
      <w:bookmarkStart w:id="80" w:name="_Toc30191"/>
      <w:bookmarkStart w:id="81" w:name="_Toc30930"/>
      <w:bookmarkStart w:id="82" w:name="_Toc29163"/>
      <w:r>
        <w:rPr>
          <w:rFonts w:hint="eastAsia" w:ascii="宋体" w:hAnsi="宋体"/>
          <w:sz w:val="28"/>
          <w:szCs w:val="28"/>
        </w:rPr>
        <w:t>1.项目立项</w:t>
      </w:r>
      <w:r>
        <w:rPr>
          <w:rFonts w:hint="eastAsia" w:ascii="宋体" w:hAnsi="宋体"/>
          <w:sz w:val="28"/>
          <w:szCs w:val="28"/>
          <w:lang w:eastAsia="zh-CN"/>
        </w:rPr>
        <w:t>（</w:t>
      </w:r>
      <w:r>
        <w:rPr>
          <w:rFonts w:hint="eastAsia" w:ascii="宋体" w:hAnsi="宋体"/>
          <w:sz w:val="28"/>
          <w:szCs w:val="28"/>
          <w:lang w:val="en-US" w:eastAsia="zh-CN"/>
        </w:rPr>
        <w:t>满分8分，得分8分</w:t>
      </w:r>
      <w:r>
        <w:rPr>
          <w:rFonts w:hint="eastAsia" w:ascii="宋体" w:hAnsi="宋体"/>
          <w:sz w:val="28"/>
          <w:szCs w:val="28"/>
          <w:lang w:eastAsia="zh-CN"/>
        </w:rPr>
        <w:t>）</w:t>
      </w:r>
      <w:bookmarkEnd w:id="80"/>
      <w:bookmarkEnd w:id="81"/>
      <w:bookmarkEnd w:id="82"/>
    </w:p>
    <w:p w14:paraId="4368E6D5">
      <w:pPr>
        <w:pStyle w:val="5"/>
        <w:pageBreakBefore w:val="0"/>
        <w:wordWrap/>
        <w:overflowPunct/>
        <w:topLinePunct w:val="0"/>
        <w:bidi w:val="0"/>
        <w:jc w:val="both"/>
        <w:textAlignment w:val="baseline"/>
        <w:rPr>
          <w:rFonts w:hint="eastAsia" w:ascii="宋体" w:hAnsi="宋体"/>
          <w:sz w:val="28"/>
          <w:szCs w:val="28"/>
        </w:rPr>
      </w:pPr>
      <w:r>
        <w:rPr>
          <w:rFonts w:hint="eastAsia" w:ascii="宋体" w:hAnsi="宋体"/>
          <w:sz w:val="28"/>
          <w:szCs w:val="28"/>
        </w:rPr>
        <w:t>（1）立项依据充分性</w:t>
      </w:r>
    </w:p>
    <w:p w14:paraId="704F9BB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rPr>
      </w:pPr>
      <w:r>
        <w:rPr>
          <w:rFonts w:hint="eastAsia" w:ascii="宋体" w:hAnsi="宋体" w:eastAsia="仿宋_GB2312" w:cs="仿宋_GB2312"/>
          <w:i w:val="0"/>
          <w:iCs w:val="0"/>
          <w:caps w:val="0"/>
          <w:color w:val="333333"/>
          <w:spacing w:val="6"/>
          <w:sz w:val="28"/>
          <w:szCs w:val="28"/>
          <w:shd w:val="clear" w:fill="FFFFFF"/>
        </w:rPr>
        <w:t>指标分值</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分，得</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分。本项目在经营期内能够维持微利，具有较好的经济效益</w:t>
      </w:r>
      <w:r>
        <w:rPr>
          <w:rFonts w:hint="eastAsia" w:ascii="宋体" w:hAnsi="宋体" w:cs="仿宋_GB2312"/>
          <w:i w:val="0"/>
          <w:iCs w:val="0"/>
          <w:caps w:val="0"/>
          <w:color w:val="333333"/>
          <w:spacing w:val="6"/>
          <w:sz w:val="28"/>
          <w:szCs w:val="28"/>
          <w:shd w:val="clear" w:fill="FFFFFF"/>
          <w:lang w:eastAsia="zh-CN"/>
        </w:rPr>
        <w:t>，</w:t>
      </w:r>
      <w:r>
        <w:rPr>
          <w:rFonts w:hint="eastAsia" w:ascii="宋体" w:hAnsi="宋体" w:eastAsia="仿宋_GB2312" w:cs="仿宋_GB2312"/>
          <w:i w:val="0"/>
          <w:iCs w:val="0"/>
          <w:caps w:val="0"/>
          <w:color w:val="333333"/>
          <w:spacing w:val="6"/>
          <w:sz w:val="28"/>
          <w:szCs w:val="28"/>
          <w:shd w:val="clear" w:fill="FFFFFF"/>
        </w:rPr>
        <w:t>同时本项目作为公益性项目，且能够进一步提高医院的治疗条件和综合实力,改善医院的医疗条件，创造一个良好的整体医疗环境，满足人民群众对就医条件越来越高的要求</w:t>
      </w:r>
      <w:r>
        <w:rPr>
          <w:rFonts w:hint="eastAsia" w:ascii="宋体" w:hAnsi="宋体" w:cs="仿宋_GB2312"/>
          <w:i w:val="0"/>
          <w:iCs w:val="0"/>
          <w:caps w:val="0"/>
          <w:color w:val="333333"/>
          <w:spacing w:val="6"/>
          <w:sz w:val="28"/>
          <w:szCs w:val="28"/>
          <w:shd w:val="clear" w:fill="FFFFFF"/>
          <w:lang w:eastAsia="zh-CN"/>
        </w:rPr>
        <w:t>，</w:t>
      </w:r>
      <w:r>
        <w:rPr>
          <w:rFonts w:hint="eastAsia" w:ascii="宋体" w:hAnsi="宋体" w:cs="仿宋_GB2312"/>
          <w:i w:val="0"/>
          <w:iCs w:val="0"/>
          <w:caps w:val="0"/>
          <w:color w:val="333333"/>
          <w:spacing w:val="6"/>
          <w:sz w:val="28"/>
          <w:szCs w:val="28"/>
          <w:shd w:val="clear" w:fill="FFFFFF"/>
          <w:lang w:val="en-US" w:eastAsia="zh-CN"/>
        </w:rPr>
        <w:t>符合专项债券支持领域和方向情况</w:t>
      </w:r>
      <w:r>
        <w:rPr>
          <w:rFonts w:hint="eastAsia" w:ascii="宋体" w:hAnsi="宋体" w:eastAsia="仿宋_GB2312" w:cs="仿宋_GB2312"/>
          <w:i w:val="0"/>
          <w:iCs w:val="0"/>
          <w:caps w:val="0"/>
          <w:color w:val="333333"/>
          <w:spacing w:val="6"/>
          <w:sz w:val="28"/>
          <w:szCs w:val="28"/>
          <w:shd w:val="clear" w:fill="FFFFFF"/>
        </w:rPr>
        <w:t>。</w:t>
      </w:r>
    </w:p>
    <w:p w14:paraId="14C34E9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spacing w:val="6"/>
          <w:sz w:val="28"/>
          <w:szCs w:val="28"/>
          <w:highlight w:val="none"/>
          <w:lang w:val="en-US" w:eastAsia="zh-CN"/>
        </w:rPr>
      </w:pPr>
      <w:r>
        <w:rPr>
          <w:rFonts w:hint="eastAsia" w:ascii="宋体" w:hAnsi="宋体" w:eastAsia="仿宋_GB2312" w:cs="仿宋_GB2312"/>
          <w:i w:val="0"/>
          <w:iCs w:val="0"/>
          <w:caps w:val="0"/>
          <w:color w:val="000000"/>
          <w:spacing w:val="6"/>
          <w:sz w:val="28"/>
          <w:szCs w:val="28"/>
          <w:highlight w:val="none"/>
          <w:shd w:val="clear" w:fill="FFFFFF"/>
          <w:lang w:val="en-US" w:eastAsia="zh-CN"/>
        </w:rPr>
        <w:t>本项目符合《长春宽城经济开发区发展战略规划（2020-2035年）》</w:t>
      </w:r>
      <w:r>
        <w:rPr>
          <w:rFonts w:hint="eastAsia" w:ascii="宋体" w:hAnsi="宋体" w:cs="仿宋_GB2312"/>
          <w:i w:val="0"/>
          <w:iCs w:val="0"/>
          <w:caps w:val="0"/>
          <w:color w:val="000000"/>
          <w:spacing w:val="6"/>
          <w:sz w:val="28"/>
          <w:szCs w:val="28"/>
          <w:highlight w:val="none"/>
          <w:shd w:val="clear" w:fill="FFFFFF"/>
          <w:lang w:val="en-US" w:eastAsia="zh-CN"/>
        </w:rPr>
        <w:t>和</w:t>
      </w:r>
      <w:r>
        <w:rPr>
          <w:rFonts w:hint="eastAsia" w:ascii="宋体" w:hAnsi="宋体" w:eastAsia="仿宋_GB2312" w:cs="仿宋_GB2312"/>
          <w:i w:val="0"/>
          <w:iCs w:val="0"/>
          <w:caps w:val="0"/>
          <w:color w:val="000000"/>
          <w:spacing w:val="6"/>
          <w:sz w:val="28"/>
          <w:szCs w:val="28"/>
          <w:highlight w:val="none"/>
          <w:shd w:val="clear" w:fill="FFFFFF"/>
          <w:lang w:val="en-US" w:eastAsia="zh-CN"/>
        </w:rPr>
        <w:t>《长春宽城经济开发区第十四个五年规划纲要》</w:t>
      </w:r>
      <w:r>
        <w:rPr>
          <w:rFonts w:hint="eastAsia" w:ascii="宋体" w:hAnsi="宋体" w:cs="仿宋_GB2312"/>
          <w:i w:val="0"/>
          <w:iCs w:val="0"/>
          <w:caps w:val="0"/>
          <w:color w:val="000000"/>
          <w:spacing w:val="6"/>
          <w:sz w:val="28"/>
          <w:szCs w:val="28"/>
          <w:highlight w:val="none"/>
          <w:shd w:val="clear" w:fill="FFFFFF"/>
          <w:lang w:val="en-US" w:eastAsia="zh-CN"/>
        </w:rPr>
        <w:t>的要求</w:t>
      </w:r>
      <w:r>
        <w:rPr>
          <w:rFonts w:hint="eastAsia" w:ascii="宋体" w:hAnsi="宋体" w:eastAsia="仿宋_GB2312" w:cs="仿宋_GB2312"/>
          <w:i w:val="0"/>
          <w:iCs w:val="0"/>
          <w:caps w:val="0"/>
          <w:color w:val="000000"/>
          <w:spacing w:val="6"/>
          <w:sz w:val="28"/>
          <w:szCs w:val="28"/>
          <w:highlight w:val="none"/>
          <w:shd w:val="clear" w:fill="FFFFFF"/>
        </w:rPr>
        <w:t>。</w:t>
      </w:r>
      <w:r>
        <w:rPr>
          <w:rFonts w:hint="eastAsia" w:ascii="宋体" w:hAnsi="宋体" w:eastAsia="仿宋_GB2312" w:cs="仿宋_GB2312"/>
          <w:i w:val="0"/>
          <w:iCs w:val="0"/>
          <w:caps w:val="0"/>
          <w:color w:val="000000"/>
          <w:spacing w:val="6"/>
          <w:sz w:val="28"/>
          <w:szCs w:val="28"/>
          <w:highlight w:val="none"/>
          <w:shd w:val="clear" w:fill="FFFFFF"/>
          <w:lang w:val="en-US" w:eastAsia="zh-CN"/>
        </w:rPr>
        <w:t>同时符合《</w:t>
      </w:r>
      <w:r>
        <w:rPr>
          <w:rFonts w:hint="eastAsia" w:ascii="宋体" w:hAnsi="宋体" w:cs="仿宋_GB2312"/>
          <w:i w:val="0"/>
          <w:iCs w:val="0"/>
          <w:caps w:val="0"/>
          <w:color w:val="000000"/>
          <w:spacing w:val="6"/>
          <w:sz w:val="28"/>
          <w:szCs w:val="28"/>
          <w:highlight w:val="none"/>
          <w:shd w:val="clear" w:fill="FFFFFF"/>
          <w:lang w:val="en-US" w:eastAsia="zh-CN"/>
        </w:rPr>
        <w:t>吉林省医疗卫生服务体系规划</w:t>
      </w:r>
      <w:r>
        <w:rPr>
          <w:rFonts w:hint="eastAsia" w:ascii="宋体" w:hAnsi="宋体" w:eastAsia="仿宋_GB2312" w:cs="仿宋_GB2312"/>
          <w:i w:val="0"/>
          <w:iCs w:val="0"/>
          <w:caps w:val="0"/>
          <w:color w:val="000000"/>
          <w:spacing w:val="6"/>
          <w:sz w:val="28"/>
          <w:szCs w:val="28"/>
          <w:highlight w:val="none"/>
          <w:shd w:val="clear" w:fill="FFFFFF"/>
          <w:lang w:val="en-US" w:eastAsia="zh-CN"/>
        </w:rPr>
        <w:t>（20</w:t>
      </w:r>
      <w:r>
        <w:rPr>
          <w:rFonts w:hint="eastAsia" w:ascii="宋体" w:hAnsi="宋体" w:cs="仿宋_GB2312"/>
          <w:i w:val="0"/>
          <w:iCs w:val="0"/>
          <w:caps w:val="0"/>
          <w:color w:val="000000"/>
          <w:spacing w:val="6"/>
          <w:sz w:val="28"/>
          <w:szCs w:val="28"/>
          <w:highlight w:val="none"/>
          <w:shd w:val="clear" w:fill="FFFFFF"/>
          <w:lang w:val="en-US" w:eastAsia="zh-CN"/>
        </w:rPr>
        <w:t>15—</w:t>
      </w:r>
      <w:r>
        <w:rPr>
          <w:rFonts w:hint="eastAsia" w:ascii="宋体" w:hAnsi="宋体" w:eastAsia="仿宋_GB2312" w:cs="仿宋_GB2312"/>
          <w:i w:val="0"/>
          <w:iCs w:val="0"/>
          <w:caps w:val="0"/>
          <w:color w:val="000000"/>
          <w:spacing w:val="6"/>
          <w:sz w:val="28"/>
          <w:szCs w:val="28"/>
          <w:highlight w:val="none"/>
          <w:shd w:val="clear" w:fill="FFFFFF"/>
          <w:lang w:val="en-US" w:eastAsia="zh-CN"/>
        </w:rPr>
        <w:t>20</w:t>
      </w:r>
      <w:r>
        <w:rPr>
          <w:rFonts w:hint="eastAsia" w:ascii="宋体" w:hAnsi="宋体" w:cs="仿宋_GB2312"/>
          <w:i w:val="0"/>
          <w:iCs w:val="0"/>
          <w:caps w:val="0"/>
          <w:color w:val="000000"/>
          <w:spacing w:val="6"/>
          <w:sz w:val="28"/>
          <w:szCs w:val="28"/>
          <w:highlight w:val="none"/>
          <w:shd w:val="clear" w:fill="FFFFFF"/>
          <w:lang w:val="en-US" w:eastAsia="zh-CN"/>
        </w:rPr>
        <w:t>20</w:t>
      </w:r>
      <w:r>
        <w:rPr>
          <w:rFonts w:hint="eastAsia" w:ascii="宋体" w:hAnsi="宋体" w:eastAsia="仿宋_GB2312" w:cs="仿宋_GB2312"/>
          <w:i w:val="0"/>
          <w:iCs w:val="0"/>
          <w:caps w:val="0"/>
          <w:color w:val="000000"/>
          <w:spacing w:val="6"/>
          <w:sz w:val="28"/>
          <w:szCs w:val="28"/>
          <w:highlight w:val="none"/>
          <w:shd w:val="clear" w:fill="FFFFFF"/>
          <w:lang w:val="en-US" w:eastAsia="zh-CN"/>
        </w:rPr>
        <w:t>年）》的要求。</w:t>
      </w:r>
    </w:p>
    <w:p w14:paraId="2252C9D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rPr>
      </w:pPr>
      <w:r>
        <w:rPr>
          <w:rFonts w:hint="eastAsia" w:ascii="宋体" w:hAnsi="宋体" w:eastAsia="仿宋_GB2312" w:cs="仿宋_GB2312"/>
          <w:i w:val="0"/>
          <w:iCs w:val="0"/>
          <w:caps w:val="0"/>
          <w:color w:val="333333"/>
          <w:spacing w:val="6"/>
          <w:sz w:val="28"/>
          <w:szCs w:val="28"/>
          <w:shd w:val="clear" w:fill="FFFFFF"/>
        </w:rPr>
        <w:t>本项目已纳入财政部地方政府债务管理系统项目库和发改委国家重大项目建设库。</w:t>
      </w:r>
    </w:p>
    <w:p w14:paraId="5AAA2AF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default" w:ascii="宋体" w:hAnsi="宋体" w:eastAsia="仿宋_GB2312" w:cs="仿宋_GB2312"/>
          <w:i w:val="0"/>
          <w:iCs w:val="0"/>
          <w:caps w:val="0"/>
          <w:color w:val="333333"/>
          <w:spacing w:val="6"/>
          <w:sz w:val="28"/>
          <w:szCs w:val="28"/>
          <w:shd w:val="clear" w:fill="FFFFFF"/>
          <w:lang w:val="en-US" w:eastAsia="zh-CN"/>
        </w:rPr>
      </w:pPr>
      <w:r>
        <w:rPr>
          <w:rFonts w:hint="eastAsia" w:ascii="宋体" w:hAnsi="宋体" w:cs="仿宋_GB2312"/>
          <w:i w:val="0"/>
          <w:iCs w:val="0"/>
          <w:caps w:val="0"/>
          <w:color w:val="333333"/>
          <w:spacing w:val="6"/>
          <w:sz w:val="28"/>
          <w:szCs w:val="28"/>
          <w:shd w:val="clear" w:fill="FFFFFF"/>
          <w:lang w:val="en-US" w:eastAsia="zh-CN"/>
        </w:rPr>
        <w:t>本项目总投资、申请地方政府专项债券资金和项目资本金已列入长春市宽城经济开发区财政局预算，纳入政府性基金预算管理。</w:t>
      </w:r>
    </w:p>
    <w:p w14:paraId="6910BBC8">
      <w:pPr>
        <w:pStyle w:val="5"/>
        <w:pageBreakBefore w:val="0"/>
        <w:wordWrap/>
        <w:overflowPunct/>
        <w:topLinePunct w:val="0"/>
        <w:bidi w:val="0"/>
        <w:ind w:firstLine="560" w:firstLineChars="200"/>
        <w:jc w:val="both"/>
        <w:textAlignment w:val="baseline"/>
        <w:rPr>
          <w:rFonts w:hint="eastAsia" w:ascii="宋体" w:hAnsi="宋体"/>
          <w:sz w:val="28"/>
          <w:szCs w:val="28"/>
        </w:rPr>
      </w:pPr>
      <w:r>
        <w:rPr>
          <w:rFonts w:hint="eastAsia" w:ascii="宋体" w:hAnsi="宋体"/>
          <w:sz w:val="28"/>
          <w:szCs w:val="28"/>
        </w:rPr>
        <w:t>（2）立项程序规范性</w:t>
      </w:r>
    </w:p>
    <w:p w14:paraId="5852638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cs="仿宋_GB2312"/>
          <w:i w:val="0"/>
          <w:iCs w:val="0"/>
          <w:caps w:val="0"/>
          <w:color w:val="333333"/>
          <w:spacing w:val="6"/>
          <w:sz w:val="28"/>
          <w:szCs w:val="28"/>
          <w:shd w:val="clear" w:fill="FFFFFF"/>
          <w:lang w:val="en-US" w:eastAsia="zh-CN"/>
        </w:rPr>
      </w:pPr>
      <w:r>
        <w:rPr>
          <w:rFonts w:hint="eastAsia" w:ascii="宋体" w:hAnsi="宋体" w:eastAsia="仿宋_GB2312" w:cs="仿宋_GB2312"/>
          <w:i w:val="0"/>
          <w:iCs w:val="0"/>
          <w:caps w:val="0"/>
          <w:color w:val="333333"/>
          <w:spacing w:val="6"/>
          <w:sz w:val="28"/>
          <w:szCs w:val="28"/>
          <w:shd w:val="clear" w:fill="FFFFFF"/>
        </w:rPr>
        <w:t>指标分值</w:t>
      </w:r>
      <w:r>
        <w:rPr>
          <w:rFonts w:hint="eastAsia" w:ascii="宋体" w:hAnsi="宋体" w:eastAsia="仿宋_GB2312"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分，得</w:t>
      </w:r>
      <w:r>
        <w:rPr>
          <w:rFonts w:hint="eastAsia" w:ascii="宋体" w:hAnsi="宋体" w:eastAsia="仿宋_GB2312"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w:t>
      </w:r>
      <w:r>
        <w:rPr>
          <w:rFonts w:hint="eastAsia" w:ascii="宋体" w:hAnsi="宋体" w:cs="仿宋_GB2312"/>
          <w:i w:val="0"/>
          <w:iCs w:val="0"/>
          <w:caps w:val="0"/>
          <w:color w:val="333333"/>
          <w:spacing w:val="6"/>
          <w:sz w:val="28"/>
          <w:szCs w:val="28"/>
          <w:shd w:val="clear" w:fill="FFFFFF"/>
          <w:lang w:val="en-US" w:eastAsia="zh-CN"/>
        </w:rPr>
        <w:t>长春市规划和自然资源局于2021年5月13日核发《建设项目用地预审与选址意见书》，2021年10月28日核发《建设用地规划许可证》。</w:t>
      </w:r>
    </w:p>
    <w:p w14:paraId="6E2E516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cs="仿宋_GB2312"/>
          <w:i w:val="0"/>
          <w:iCs w:val="0"/>
          <w:caps w:val="0"/>
          <w:color w:val="333333"/>
          <w:spacing w:val="6"/>
          <w:sz w:val="28"/>
          <w:szCs w:val="28"/>
          <w:highlight w:val="none"/>
          <w:shd w:val="clear" w:fill="FFFFFF"/>
          <w:lang w:val="en-US" w:eastAsia="zh-CN"/>
        </w:rPr>
      </w:pPr>
      <w:r>
        <w:rPr>
          <w:rFonts w:hint="eastAsia" w:ascii="宋体" w:hAnsi="宋体" w:cs="仿宋_GB2312"/>
          <w:i w:val="0"/>
          <w:iCs w:val="0"/>
          <w:caps w:val="0"/>
          <w:color w:val="333333"/>
          <w:spacing w:val="6"/>
          <w:sz w:val="28"/>
          <w:szCs w:val="28"/>
          <w:shd w:val="clear" w:fill="FFFFFF"/>
          <w:lang w:val="en-US" w:eastAsia="zh-CN"/>
        </w:rPr>
        <w:t>2022年9月华设设计集团股份有限公司出具《长春市宽城区医院异地建设项目工程可行性研究报告（修改版）》，2022年9月30日长春市宽城区发展和改革局</w:t>
      </w:r>
      <w:r>
        <w:rPr>
          <w:rFonts w:hint="eastAsia" w:ascii="宋体" w:hAnsi="宋体" w:cs="仿宋_GB2312"/>
          <w:i w:val="0"/>
          <w:iCs w:val="0"/>
          <w:caps w:val="0"/>
          <w:color w:val="333333"/>
          <w:spacing w:val="6"/>
          <w:sz w:val="28"/>
          <w:szCs w:val="28"/>
          <w:highlight w:val="none"/>
          <w:shd w:val="clear" w:fill="FFFFFF"/>
          <w:lang w:val="en-US" w:eastAsia="zh-CN"/>
        </w:rPr>
        <w:t>发布</w:t>
      </w:r>
      <w:r>
        <w:rPr>
          <w:rFonts w:hint="eastAsia" w:ascii="宋体" w:hAnsi="宋体" w:eastAsia="仿宋_GB2312" w:cs="仿宋_GB2312"/>
          <w:i w:val="0"/>
          <w:iCs w:val="0"/>
          <w:caps w:val="0"/>
          <w:color w:val="333333"/>
          <w:spacing w:val="6"/>
          <w:sz w:val="28"/>
          <w:szCs w:val="28"/>
          <w:highlight w:val="none"/>
          <w:shd w:val="clear" w:fill="FFFFFF"/>
          <w:lang w:val="en-US" w:eastAsia="zh-CN"/>
        </w:rPr>
        <w:t>《关于调整</w:t>
      </w:r>
      <w:r>
        <w:rPr>
          <w:rFonts w:hint="eastAsia" w:ascii="宋体" w:hAnsi="宋体" w:cs="仿宋_GB2312"/>
          <w:i w:val="0"/>
          <w:iCs w:val="0"/>
          <w:caps w:val="0"/>
          <w:color w:val="333333"/>
          <w:spacing w:val="6"/>
          <w:sz w:val="28"/>
          <w:szCs w:val="28"/>
          <w:highlight w:val="none"/>
          <w:shd w:val="clear" w:fill="FFFFFF"/>
          <w:lang w:val="en-US" w:eastAsia="zh-CN"/>
        </w:rPr>
        <w:t>长春市宽城区医院异地</w:t>
      </w:r>
      <w:r>
        <w:rPr>
          <w:rFonts w:hint="eastAsia" w:ascii="宋体" w:hAnsi="宋体" w:eastAsia="仿宋_GB2312" w:cs="仿宋_GB2312"/>
          <w:i w:val="0"/>
          <w:iCs w:val="0"/>
          <w:caps w:val="0"/>
          <w:color w:val="333333"/>
          <w:spacing w:val="6"/>
          <w:sz w:val="28"/>
          <w:szCs w:val="28"/>
          <w:highlight w:val="none"/>
          <w:shd w:val="clear" w:fill="FFFFFF"/>
          <w:lang w:val="en-US" w:eastAsia="zh-CN"/>
        </w:rPr>
        <w:t>建设项目可行性研究报告的批复》（</w:t>
      </w:r>
      <w:r>
        <w:rPr>
          <w:rFonts w:hint="eastAsia" w:ascii="宋体" w:hAnsi="宋体" w:cs="仿宋_GB2312"/>
          <w:i w:val="0"/>
          <w:iCs w:val="0"/>
          <w:caps w:val="0"/>
          <w:color w:val="333333"/>
          <w:spacing w:val="6"/>
          <w:sz w:val="28"/>
          <w:szCs w:val="28"/>
          <w:highlight w:val="none"/>
          <w:shd w:val="clear" w:fill="FFFFFF"/>
          <w:lang w:val="en-US" w:eastAsia="zh-CN"/>
        </w:rPr>
        <w:t>长宽</w:t>
      </w:r>
      <w:r>
        <w:rPr>
          <w:rFonts w:hint="eastAsia" w:ascii="宋体" w:hAnsi="宋体" w:eastAsia="仿宋_GB2312" w:cs="仿宋_GB2312"/>
          <w:i w:val="0"/>
          <w:iCs w:val="0"/>
          <w:caps w:val="0"/>
          <w:color w:val="333333"/>
          <w:spacing w:val="6"/>
          <w:sz w:val="28"/>
          <w:szCs w:val="28"/>
          <w:highlight w:val="none"/>
          <w:shd w:val="clear" w:fill="FFFFFF"/>
          <w:lang w:val="en-US" w:eastAsia="zh-CN"/>
        </w:rPr>
        <w:t>发改字【2022】</w:t>
      </w:r>
      <w:r>
        <w:rPr>
          <w:rFonts w:hint="eastAsia" w:ascii="宋体" w:hAnsi="宋体" w:cs="仿宋_GB2312"/>
          <w:i w:val="0"/>
          <w:iCs w:val="0"/>
          <w:caps w:val="0"/>
          <w:color w:val="333333"/>
          <w:spacing w:val="6"/>
          <w:sz w:val="28"/>
          <w:szCs w:val="28"/>
          <w:highlight w:val="none"/>
          <w:shd w:val="clear" w:fill="FFFFFF"/>
          <w:lang w:val="en-US" w:eastAsia="zh-CN"/>
        </w:rPr>
        <w:t>91</w:t>
      </w:r>
      <w:r>
        <w:rPr>
          <w:rFonts w:hint="eastAsia" w:ascii="宋体" w:hAnsi="宋体" w:eastAsia="仿宋_GB2312" w:cs="仿宋_GB2312"/>
          <w:i w:val="0"/>
          <w:iCs w:val="0"/>
          <w:caps w:val="0"/>
          <w:color w:val="333333"/>
          <w:spacing w:val="6"/>
          <w:sz w:val="28"/>
          <w:szCs w:val="28"/>
          <w:highlight w:val="none"/>
          <w:shd w:val="clear" w:fill="FFFFFF"/>
          <w:lang w:val="en-US" w:eastAsia="zh-CN"/>
        </w:rPr>
        <w:t>号）</w:t>
      </w:r>
      <w:r>
        <w:rPr>
          <w:rFonts w:hint="eastAsia" w:ascii="宋体" w:hAnsi="宋体" w:cs="仿宋_GB2312"/>
          <w:i w:val="0"/>
          <w:iCs w:val="0"/>
          <w:caps w:val="0"/>
          <w:color w:val="333333"/>
          <w:spacing w:val="6"/>
          <w:sz w:val="28"/>
          <w:szCs w:val="28"/>
          <w:highlight w:val="none"/>
          <w:shd w:val="clear" w:fill="FFFFFF"/>
          <w:lang w:val="en-US" w:eastAsia="zh-CN"/>
        </w:rPr>
        <w:t>。</w:t>
      </w:r>
    </w:p>
    <w:p w14:paraId="28C6D27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rPr>
      </w:pPr>
      <w:r>
        <w:rPr>
          <w:rFonts w:hint="eastAsia" w:ascii="宋体" w:hAnsi="宋体" w:eastAsia="仿宋_GB2312" w:cs="仿宋_GB2312"/>
          <w:i w:val="0"/>
          <w:iCs w:val="0"/>
          <w:caps w:val="0"/>
          <w:color w:val="333333"/>
          <w:spacing w:val="6"/>
          <w:sz w:val="28"/>
          <w:szCs w:val="28"/>
          <w:highlight w:val="none"/>
          <w:shd w:val="clear" w:fill="FFFFFF"/>
          <w:lang w:val="en-US" w:eastAsia="zh-CN"/>
        </w:rPr>
        <w:t>202</w:t>
      </w:r>
      <w:r>
        <w:rPr>
          <w:rFonts w:hint="eastAsia" w:ascii="宋体" w:hAnsi="宋体" w:cs="仿宋_GB2312"/>
          <w:i w:val="0"/>
          <w:iCs w:val="0"/>
          <w:caps w:val="0"/>
          <w:color w:val="333333"/>
          <w:spacing w:val="6"/>
          <w:sz w:val="28"/>
          <w:szCs w:val="28"/>
          <w:highlight w:val="none"/>
          <w:shd w:val="clear" w:fill="FFFFFF"/>
          <w:lang w:val="en-US" w:eastAsia="zh-CN"/>
        </w:rPr>
        <w:t>3</w:t>
      </w:r>
      <w:r>
        <w:rPr>
          <w:rFonts w:hint="eastAsia" w:ascii="宋体" w:hAnsi="宋体" w:eastAsia="仿宋_GB2312" w:cs="仿宋_GB2312"/>
          <w:i w:val="0"/>
          <w:iCs w:val="0"/>
          <w:caps w:val="0"/>
          <w:color w:val="333333"/>
          <w:spacing w:val="6"/>
          <w:sz w:val="28"/>
          <w:szCs w:val="28"/>
          <w:highlight w:val="none"/>
          <w:shd w:val="clear" w:fill="FFFFFF"/>
          <w:lang w:val="en-US" w:eastAsia="zh-CN"/>
        </w:rPr>
        <w:t>年</w:t>
      </w:r>
      <w:r>
        <w:rPr>
          <w:rFonts w:hint="eastAsia" w:ascii="宋体" w:hAnsi="宋体" w:cs="仿宋_GB2312"/>
          <w:i w:val="0"/>
          <w:iCs w:val="0"/>
          <w:caps w:val="0"/>
          <w:color w:val="333333"/>
          <w:spacing w:val="6"/>
          <w:sz w:val="28"/>
          <w:szCs w:val="28"/>
          <w:highlight w:val="none"/>
          <w:shd w:val="clear" w:fill="FFFFFF"/>
          <w:lang w:val="en-US" w:eastAsia="zh-CN"/>
        </w:rPr>
        <w:t>1</w:t>
      </w:r>
      <w:r>
        <w:rPr>
          <w:rFonts w:hint="eastAsia" w:ascii="宋体" w:hAnsi="宋体" w:eastAsia="仿宋_GB2312" w:cs="仿宋_GB2312"/>
          <w:i w:val="0"/>
          <w:iCs w:val="0"/>
          <w:caps w:val="0"/>
          <w:color w:val="333333"/>
          <w:spacing w:val="6"/>
          <w:sz w:val="28"/>
          <w:szCs w:val="28"/>
          <w:highlight w:val="none"/>
          <w:shd w:val="clear" w:fill="FFFFFF"/>
          <w:lang w:val="en-US" w:eastAsia="zh-CN"/>
        </w:rPr>
        <w:t>月3</w:t>
      </w:r>
      <w:r>
        <w:rPr>
          <w:rFonts w:hint="eastAsia" w:ascii="宋体" w:hAnsi="宋体" w:cs="仿宋_GB2312"/>
          <w:i w:val="0"/>
          <w:iCs w:val="0"/>
          <w:caps w:val="0"/>
          <w:color w:val="333333"/>
          <w:spacing w:val="6"/>
          <w:sz w:val="28"/>
          <w:szCs w:val="28"/>
          <w:highlight w:val="none"/>
          <w:shd w:val="clear" w:fill="FFFFFF"/>
          <w:lang w:val="en-US" w:eastAsia="zh-CN"/>
        </w:rPr>
        <w:t>0</w:t>
      </w:r>
      <w:r>
        <w:rPr>
          <w:rFonts w:hint="eastAsia" w:ascii="宋体" w:hAnsi="宋体" w:eastAsia="仿宋_GB2312" w:cs="仿宋_GB2312"/>
          <w:i w:val="0"/>
          <w:iCs w:val="0"/>
          <w:caps w:val="0"/>
          <w:color w:val="333333"/>
          <w:spacing w:val="6"/>
          <w:sz w:val="28"/>
          <w:szCs w:val="28"/>
          <w:highlight w:val="none"/>
          <w:shd w:val="clear" w:fill="FFFFFF"/>
          <w:lang w:val="en-US" w:eastAsia="zh-CN"/>
        </w:rPr>
        <w:t>日长春市宽城区发展和改革局发布《宽城区发展和改革局</w:t>
      </w:r>
      <w:r>
        <w:rPr>
          <w:rFonts w:hint="eastAsia" w:ascii="宋体" w:hAnsi="宋体" w:cs="仿宋_GB2312"/>
          <w:i w:val="0"/>
          <w:iCs w:val="0"/>
          <w:caps w:val="0"/>
          <w:color w:val="333333"/>
          <w:spacing w:val="6"/>
          <w:sz w:val="28"/>
          <w:szCs w:val="28"/>
          <w:highlight w:val="none"/>
          <w:shd w:val="clear" w:fill="FFFFFF"/>
          <w:lang w:val="en-US" w:eastAsia="zh-CN"/>
        </w:rPr>
        <w:t>关于调整长春市宽城区医院异地建设项目</w:t>
      </w:r>
      <w:r>
        <w:rPr>
          <w:rFonts w:hint="eastAsia" w:ascii="宋体" w:hAnsi="宋体" w:eastAsia="仿宋_GB2312" w:cs="仿宋_GB2312"/>
          <w:i w:val="0"/>
          <w:iCs w:val="0"/>
          <w:caps w:val="0"/>
          <w:color w:val="333333"/>
          <w:spacing w:val="6"/>
          <w:sz w:val="28"/>
          <w:szCs w:val="28"/>
          <w:highlight w:val="none"/>
          <w:shd w:val="clear" w:fill="FFFFFF"/>
          <w:lang w:val="en-US" w:eastAsia="zh-CN"/>
        </w:rPr>
        <w:t>初步设计的批复》（</w:t>
      </w:r>
      <w:r>
        <w:rPr>
          <w:rFonts w:hint="eastAsia" w:ascii="宋体" w:hAnsi="宋体" w:cs="仿宋_GB2312"/>
          <w:i w:val="0"/>
          <w:iCs w:val="0"/>
          <w:caps w:val="0"/>
          <w:color w:val="333333"/>
          <w:spacing w:val="6"/>
          <w:sz w:val="28"/>
          <w:szCs w:val="28"/>
          <w:highlight w:val="none"/>
          <w:shd w:val="clear" w:fill="FFFFFF"/>
          <w:lang w:val="en-US" w:eastAsia="zh-CN"/>
        </w:rPr>
        <w:t>长宽发改</w:t>
      </w:r>
      <w:r>
        <w:rPr>
          <w:rFonts w:hint="eastAsia" w:ascii="宋体" w:hAnsi="宋体" w:eastAsia="仿宋_GB2312" w:cs="仿宋_GB2312"/>
          <w:i w:val="0"/>
          <w:iCs w:val="0"/>
          <w:caps w:val="0"/>
          <w:color w:val="333333"/>
          <w:spacing w:val="6"/>
          <w:sz w:val="28"/>
          <w:szCs w:val="28"/>
          <w:highlight w:val="none"/>
          <w:shd w:val="clear" w:fill="FFFFFF"/>
          <w:lang w:val="en-US" w:eastAsia="zh-CN"/>
        </w:rPr>
        <w:t>字【202</w:t>
      </w:r>
      <w:r>
        <w:rPr>
          <w:rFonts w:hint="eastAsia" w:ascii="宋体" w:hAnsi="宋体" w:cs="仿宋_GB2312"/>
          <w:i w:val="0"/>
          <w:iCs w:val="0"/>
          <w:caps w:val="0"/>
          <w:color w:val="333333"/>
          <w:spacing w:val="6"/>
          <w:sz w:val="28"/>
          <w:szCs w:val="28"/>
          <w:highlight w:val="none"/>
          <w:shd w:val="clear" w:fill="FFFFFF"/>
          <w:lang w:val="en-US" w:eastAsia="zh-CN"/>
        </w:rPr>
        <w:t>3</w:t>
      </w:r>
      <w:r>
        <w:rPr>
          <w:rFonts w:hint="eastAsia" w:ascii="宋体" w:hAnsi="宋体" w:eastAsia="仿宋_GB2312" w:cs="仿宋_GB2312"/>
          <w:i w:val="0"/>
          <w:iCs w:val="0"/>
          <w:caps w:val="0"/>
          <w:color w:val="333333"/>
          <w:spacing w:val="6"/>
          <w:sz w:val="28"/>
          <w:szCs w:val="28"/>
          <w:highlight w:val="none"/>
          <w:shd w:val="clear" w:fill="FFFFFF"/>
          <w:lang w:val="en-US" w:eastAsia="zh-CN"/>
        </w:rPr>
        <w:t>】</w:t>
      </w:r>
      <w:r>
        <w:rPr>
          <w:rFonts w:hint="eastAsia" w:ascii="宋体" w:hAnsi="宋体" w:cs="仿宋_GB2312"/>
          <w:i w:val="0"/>
          <w:iCs w:val="0"/>
          <w:caps w:val="0"/>
          <w:color w:val="333333"/>
          <w:spacing w:val="6"/>
          <w:sz w:val="28"/>
          <w:szCs w:val="28"/>
          <w:highlight w:val="none"/>
          <w:shd w:val="clear" w:fill="FFFFFF"/>
          <w:lang w:val="en-US" w:eastAsia="zh-CN"/>
        </w:rPr>
        <w:t>16</w:t>
      </w:r>
      <w:r>
        <w:rPr>
          <w:rFonts w:hint="eastAsia" w:ascii="宋体" w:hAnsi="宋体" w:eastAsia="仿宋_GB2312" w:cs="仿宋_GB2312"/>
          <w:i w:val="0"/>
          <w:iCs w:val="0"/>
          <w:caps w:val="0"/>
          <w:color w:val="333333"/>
          <w:spacing w:val="6"/>
          <w:sz w:val="28"/>
          <w:szCs w:val="28"/>
          <w:highlight w:val="none"/>
          <w:shd w:val="clear" w:fill="FFFFFF"/>
          <w:lang w:val="en-US" w:eastAsia="zh-CN"/>
        </w:rPr>
        <w:t>号）</w:t>
      </w:r>
      <w:r>
        <w:rPr>
          <w:rFonts w:hint="eastAsia" w:ascii="宋体" w:hAnsi="宋体" w:eastAsia="仿宋_GB2312" w:cs="仿宋_GB2312"/>
          <w:i w:val="0"/>
          <w:iCs w:val="0"/>
          <w:caps w:val="0"/>
          <w:color w:val="333333"/>
          <w:spacing w:val="6"/>
          <w:sz w:val="28"/>
          <w:szCs w:val="28"/>
          <w:highlight w:val="none"/>
          <w:shd w:val="clear" w:fill="FFFFFF"/>
        </w:rPr>
        <w:t>。</w:t>
      </w:r>
    </w:p>
    <w:p w14:paraId="287167F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cs="仿宋_GB2312"/>
          <w:i w:val="0"/>
          <w:iCs w:val="0"/>
          <w:caps w:val="0"/>
          <w:color w:val="333333"/>
          <w:spacing w:val="6"/>
          <w:sz w:val="28"/>
          <w:szCs w:val="28"/>
          <w:highlight w:val="none"/>
          <w:shd w:val="clear" w:fill="FFFFFF"/>
          <w:lang w:val="en-US" w:eastAsia="zh-CN"/>
        </w:rPr>
        <w:t>2021年12月15日长春市生态环境局宽城分局发布《关于长春市宽城区异地建设项目环境影响报告书的批复》（长环宽审（书）【2021】001号）；2021年12月22日长春市发展和改革委员会发布《长春市发展改革委关于长春市宽城区医院异地建设项目节能报告的审查意见》（长发改审批字【2021】252号），原则同意该项目节能评估报告。长春市城乡建设委员会</w:t>
      </w:r>
      <w:r>
        <w:rPr>
          <w:rFonts w:hint="eastAsia" w:ascii="宋体" w:hAnsi="宋体" w:eastAsia="仿宋_GB2312" w:cs="仿宋_GB2312"/>
          <w:i w:val="0"/>
          <w:iCs w:val="0"/>
          <w:caps w:val="0"/>
          <w:color w:val="333333"/>
          <w:spacing w:val="6"/>
          <w:sz w:val="28"/>
          <w:szCs w:val="28"/>
          <w:highlight w:val="none"/>
          <w:shd w:val="clear" w:fill="FFFFFF"/>
          <w:lang w:val="en-US" w:eastAsia="zh-CN"/>
        </w:rPr>
        <w:t>于202</w:t>
      </w:r>
      <w:r>
        <w:rPr>
          <w:rFonts w:hint="eastAsia" w:ascii="宋体" w:hAnsi="宋体" w:cs="仿宋_GB2312"/>
          <w:i w:val="0"/>
          <w:iCs w:val="0"/>
          <w:caps w:val="0"/>
          <w:color w:val="333333"/>
          <w:spacing w:val="6"/>
          <w:sz w:val="28"/>
          <w:szCs w:val="28"/>
          <w:highlight w:val="none"/>
          <w:shd w:val="clear" w:fill="FFFFFF"/>
          <w:lang w:val="en-US" w:eastAsia="zh-CN"/>
        </w:rPr>
        <w:t>3</w:t>
      </w:r>
      <w:r>
        <w:rPr>
          <w:rFonts w:hint="eastAsia" w:ascii="宋体" w:hAnsi="宋体" w:eastAsia="仿宋_GB2312" w:cs="仿宋_GB2312"/>
          <w:i w:val="0"/>
          <w:iCs w:val="0"/>
          <w:caps w:val="0"/>
          <w:color w:val="333333"/>
          <w:spacing w:val="6"/>
          <w:sz w:val="28"/>
          <w:szCs w:val="28"/>
          <w:highlight w:val="none"/>
          <w:shd w:val="clear" w:fill="FFFFFF"/>
          <w:lang w:val="en-US" w:eastAsia="zh-CN"/>
        </w:rPr>
        <w:t>年</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lang w:val="en-US" w:eastAsia="zh-CN"/>
        </w:rPr>
        <w:t>月</w:t>
      </w:r>
      <w:r>
        <w:rPr>
          <w:rFonts w:hint="eastAsia" w:ascii="宋体" w:hAnsi="宋体" w:cs="仿宋_GB2312"/>
          <w:i w:val="0"/>
          <w:iCs w:val="0"/>
          <w:caps w:val="0"/>
          <w:color w:val="333333"/>
          <w:spacing w:val="6"/>
          <w:sz w:val="28"/>
          <w:szCs w:val="28"/>
          <w:highlight w:val="none"/>
          <w:shd w:val="clear" w:fill="FFFFFF"/>
          <w:lang w:val="en-US" w:eastAsia="zh-CN"/>
        </w:rPr>
        <w:t>6</w:t>
      </w:r>
      <w:r>
        <w:rPr>
          <w:rFonts w:hint="eastAsia" w:ascii="宋体" w:hAnsi="宋体" w:eastAsia="仿宋_GB2312" w:cs="仿宋_GB2312"/>
          <w:i w:val="0"/>
          <w:iCs w:val="0"/>
          <w:caps w:val="0"/>
          <w:color w:val="333333"/>
          <w:spacing w:val="6"/>
          <w:sz w:val="28"/>
          <w:szCs w:val="28"/>
          <w:highlight w:val="none"/>
          <w:shd w:val="clear" w:fill="FFFFFF"/>
          <w:lang w:val="en-US" w:eastAsia="zh-CN"/>
        </w:rPr>
        <w:t>日颁发了《</w:t>
      </w:r>
      <w:r>
        <w:rPr>
          <w:rFonts w:hint="eastAsia" w:ascii="宋体" w:hAnsi="宋体" w:cs="仿宋_GB2312"/>
          <w:i w:val="0"/>
          <w:iCs w:val="0"/>
          <w:caps w:val="0"/>
          <w:color w:val="333333"/>
          <w:spacing w:val="6"/>
          <w:sz w:val="28"/>
          <w:szCs w:val="28"/>
          <w:highlight w:val="none"/>
          <w:shd w:val="clear" w:fill="FFFFFF"/>
          <w:lang w:val="en-US" w:eastAsia="zh-CN"/>
        </w:rPr>
        <w:t>建筑工程施工许可证</w:t>
      </w:r>
      <w:r>
        <w:rPr>
          <w:rFonts w:hint="eastAsia" w:ascii="宋体" w:hAnsi="宋体" w:eastAsia="仿宋_GB2312" w:cs="仿宋_GB2312"/>
          <w:i w:val="0"/>
          <w:iCs w:val="0"/>
          <w:caps w:val="0"/>
          <w:color w:val="333333"/>
          <w:spacing w:val="6"/>
          <w:sz w:val="28"/>
          <w:szCs w:val="28"/>
          <w:highlight w:val="none"/>
          <w:shd w:val="clear" w:fill="FFFFFF"/>
          <w:lang w:val="en-US" w:eastAsia="zh-CN"/>
        </w:rPr>
        <w:t>》</w:t>
      </w:r>
      <w:r>
        <w:rPr>
          <w:rFonts w:hint="eastAsia" w:ascii="宋体" w:hAnsi="宋体" w:cs="仿宋_GB2312"/>
          <w:i w:val="0"/>
          <w:iCs w:val="0"/>
          <w:caps w:val="0"/>
          <w:color w:val="333333"/>
          <w:spacing w:val="6"/>
          <w:sz w:val="28"/>
          <w:szCs w:val="28"/>
          <w:highlight w:val="none"/>
          <w:shd w:val="clear" w:fill="FFFFFF"/>
          <w:lang w:val="en-US" w:eastAsia="zh-CN"/>
        </w:rPr>
        <w:t>（编号220103202304060101）。</w:t>
      </w:r>
    </w:p>
    <w:p w14:paraId="42666D1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rPr>
      </w:pPr>
      <w:r>
        <w:rPr>
          <w:rFonts w:hint="eastAsia" w:ascii="宋体" w:hAnsi="宋体" w:eastAsia="仿宋_GB2312" w:cs="仿宋_GB2312"/>
          <w:i w:val="0"/>
          <w:iCs w:val="0"/>
          <w:caps w:val="0"/>
          <w:color w:val="333333"/>
          <w:spacing w:val="6"/>
          <w:sz w:val="28"/>
          <w:szCs w:val="28"/>
          <w:shd w:val="clear" w:fill="FFFFFF"/>
        </w:rPr>
        <w:t>综上，本项目申报的政策依据与程序较为规范。</w:t>
      </w:r>
    </w:p>
    <w:p w14:paraId="14F5C97C">
      <w:pPr>
        <w:pStyle w:val="4"/>
        <w:pageBreakBefore w:val="0"/>
        <w:wordWrap/>
        <w:overflowPunct/>
        <w:topLinePunct w:val="0"/>
        <w:bidi w:val="0"/>
        <w:ind w:firstLine="560" w:firstLineChars="200"/>
        <w:jc w:val="both"/>
        <w:textAlignment w:val="baseline"/>
        <w:rPr>
          <w:rFonts w:hint="eastAsia" w:ascii="宋体" w:hAnsi="宋体"/>
          <w:sz w:val="28"/>
          <w:szCs w:val="28"/>
          <w:lang w:eastAsia="zh-CN"/>
        </w:rPr>
      </w:pPr>
      <w:bookmarkStart w:id="83" w:name="_Toc31012"/>
      <w:bookmarkStart w:id="84" w:name="_Toc1343"/>
      <w:bookmarkStart w:id="85" w:name="_Toc20695"/>
      <w:r>
        <w:rPr>
          <w:rFonts w:hint="eastAsia" w:ascii="宋体" w:hAnsi="宋体"/>
          <w:sz w:val="28"/>
          <w:szCs w:val="28"/>
        </w:rPr>
        <w:t>2.绩效目标</w:t>
      </w:r>
      <w:r>
        <w:rPr>
          <w:rFonts w:hint="eastAsia" w:ascii="宋体" w:hAnsi="宋体"/>
          <w:sz w:val="28"/>
          <w:szCs w:val="28"/>
          <w:lang w:eastAsia="zh-CN"/>
        </w:rPr>
        <w:t>（</w:t>
      </w:r>
      <w:r>
        <w:rPr>
          <w:rFonts w:hint="eastAsia" w:ascii="宋体" w:hAnsi="宋体"/>
          <w:sz w:val="28"/>
          <w:szCs w:val="28"/>
          <w:lang w:val="en-US" w:eastAsia="zh-CN"/>
        </w:rPr>
        <w:t>满分9分，得分9分</w:t>
      </w:r>
      <w:r>
        <w:rPr>
          <w:rFonts w:hint="eastAsia" w:ascii="宋体" w:hAnsi="宋体"/>
          <w:sz w:val="28"/>
          <w:szCs w:val="28"/>
          <w:lang w:eastAsia="zh-CN"/>
        </w:rPr>
        <w:t>）</w:t>
      </w:r>
      <w:bookmarkEnd w:id="83"/>
      <w:bookmarkEnd w:id="84"/>
      <w:bookmarkEnd w:id="85"/>
    </w:p>
    <w:p w14:paraId="246AECF1">
      <w:pPr>
        <w:pStyle w:val="5"/>
        <w:pageBreakBefore w:val="0"/>
        <w:wordWrap/>
        <w:overflowPunct/>
        <w:topLinePunct w:val="0"/>
        <w:bidi w:val="0"/>
        <w:ind w:firstLine="560" w:firstLineChars="200"/>
        <w:jc w:val="both"/>
        <w:textAlignment w:val="baseline"/>
        <w:rPr>
          <w:rFonts w:hint="eastAsia" w:ascii="宋体" w:hAnsi="宋体"/>
          <w:sz w:val="28"/>
          <w:szCs w:val="28"/>
          <w:highlight w:val="none"/>
        </w:rPr>
      </w:pPr>
      <w:r>
        <w:rPr>
          <w:rFonts w:hint="eastAsia" w:ascii="宋体" w:hAnsi="宋体"/>
          <w:sz w:val="28"/>
          <w:szCs w:val="28"/>
        </w:rPr>
        <w:t>（1）绩效目</w:t>
      </w:r>
      <w:r>
        <w:rPr>
          <w:rFonts w:hint="eastAsia" w:ascii="宋体" w:hAnsi="宋体"/>
          <w:sz w:val="28"/>
          <w:szCs w:val="28"/>
          <w:highlight w:val="none"/>
        </w:rPr>
        <w:t>标合理性</w:t>
      </w:r>
    </w:p>
    <w:p w14:paraId="4E07270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spacing w:val="6"/>
          <w:sz w:val="28"/>
          <w:szCs w:val="28"/>
          <w:highlight w:val="none"/>
        </w:rPr>
      </w:pPr>
      <w:r>
        <w:rPr>
          <w:rFonts w:hint="eastAsia" w:ascii="宋体" w:hAnsi="宋体" w:eastAsia="仿宋_GB2312" w:cs="仿宋_GB2312"/>
          <w:i w:val="0"/>
          <w:iCs w:val="0"/>
          <w:caps w:val="0"/>
          <w:color w:val="333333"/>
          <w:spacing w:val="6"/>
          <w:sz w:val="28"/>
          <w:szCs w:val="28"/>
          <w:highlight w:val="none"/>
          <w:shd w:val="clear" w:fill="FFFFFF"/>
        </w:rPr>
        <w:t>指标分值</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rPr>
        <w:t>分，得</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rPr>
        <w:t>分。</w:t>
      </w:r>
      <w:r>
        <w:rPr>
          <w:rFonts w:hint="eastAsia" w:ascii="宋体" w:hAnsi="宋体" w:eastAsia="仿宋_GB2312" w:cs="仿宋_GB2312"/>
          <w:i w:val="0"/>
          <w:iCs w:val="0"/>
          <w:caps w:val="0"/>
          <w:color w:val="333333"/>
          <w:spacing w:val="6"/>
          <w:sz w:val="28"/>
          <w:szCs w:val="28"/>
          <w:shd w:val="clear" w:fill="FFFFFF"/>
          <w:lang w:val="en-US" w:eastAsia="zh-CN"/>
        </w:rPr>
        <w:t>依据长春市宽城区医院提供的</w:t>
      </w:r>
      <w:r>
        <w:rPr>
          <w:rFonts w:hint="eastAsia" w:ascii="宋体" w:hAnsi="宋体" w:cs="仿宋_GB2312"/>
          <w:i w:val="0"/>
          <w:iCs w:val="0"/>
          <w:caps w:val="0"/>
          <w:color w:val="333333"/>
          <w:spacing w:val="6"/>
          <w:sz w:val="28"/>
          <w:szCs w:val="28"/>
          <w:shd w:val="clear" w:fill="FFFFFF"/>
          <w:lang w:val="en-US" w:eastAsia="zh-CN"/>
        </w:rPr>
        <w:t>本</w:t>
      </w:r>
      <w:r>
        <w:rPr>
          <w:rFonts w:hint="eastAsia" w:ascii="宋体" w:hAnsi="宋体" w:eastAsia="仿宋_GB2312" w:cs="仿宋_GB2312"/>
          <w:i w:val="0"/>
          <w:iCs w:val="0"/>
          <w:caps w:val="0"/>
          <w:color w:val="333333"/>
          <w:spacing w:val="6"/>
          <w:sz w:val="28"/>
          <w:szCs w:val="28"/>
          <w:shd w:val="clear" w:fill="FFFFFF"/>
        </w:rPr>
        <w:t>项目《</w:t>
      </w:r>
      <w:r>
        <w:rPr>
          <w:rFonts w:hint="eastAsia" w:ascii="宋体" w:hAnsi="宋体" w:cs="仿宋_GB2312"/>
          <w:i w:val="0"/>
          <w:iCs w:val="0"/>
          <w:caps w:val="0"/>
          <w:color w:val="333333"/>
          <w:spacing w:val="6"/>
          <w:sz w:val="28"/>
          <w:szCs w:val="28"/>
          <w:shd w:val="clear" w:fill="FFFFFF"/>
          <w:lang w:val="en-US" w:eastAsia="zh-CN"/>
        </w:rPr>
        <w:t>2025年度</w:t>
      </w:r>
      <w:r>
        <w:rPr>
          <w:rFonts w:hint="eastAsia" w:ascii="宋体" w:hAnsi="宋体" w:eastAsia="仿宋_GB2312" w:cs="仿宋_GB2312"/>
          <w:i w:val="0"/>
          <w:iCs w:val="0"/>
          <w:caps w:val="0"/>
          <w:color w:val="333333"/>
          <w:spacing w:val="6"/>
          <w:sz w:val="28"/>
          <w:szCs w:val="28"/>
          <w:shd w:val="clear" w:fill="FFFFFF"/>
        </w:rPr>
        <w:t>地方政府专项债券项目绩效目标申报表》，</w:t>
      </w:r>
      <w:r>
        <w:rPr>
          <w:rFonts w:hint="eastAsia" w:ascii="宋体" w:hAnsi="宋体" w:eastAsia="仿宋_GB2312" w:cs="仿宋_GB2312"/>
          <w:i w:val="0"/>
          <w:iCs w:val="0"/>
          <w:caps w:val="0"/>
          <w:color w:val="333333"/>
          <w:spacing w:val="6"/>
          <w:sz w:val="28"/>
          <w:szCs w:val="28"/>
          <w:shd w:val="clear" w:fill="FFFFFF"/>
          <w:lang w:val="en-US" w:eastAsia="zh-CN"/>
        </w:rPr>
        <w:t>申报表中</w:t>
      </w:r>
      <w:r>
        <w:rPr>
          <w:rFonts w:hint="eastAsia" w:ascii="宋体" w:hAnsi="宋体" w:eastAsia="仿宋_GB2312" w:cs="仿宋_GB2312"/>
          <w:i w:val="0"/>
          <w:iCs w:val="0"/>
          <w:caps w:val="0"/>
          <w:color w:val="333333"/>
          <w:spacing w:val="6"/>
          <w:sz w:val="28"/>
          <w:szCs w:val="28"/>
          <w:shd w:val="clear" w:fill="FFFFFF"/>
        </w:rPr>
        <w:t>设立绩效目标，</w:t>
      </w:r>
      <w:r>
        <w:rPr>
          <w:rFonts w:hint="eastAsia" w:ascii="宋体" w:hAnsi="宋体" w:cs="仿宋_GB2312"/>
          <w:i w:val="0"/>
          <w:iCs w:val="0"/>
          <w:caps w:val="0"/>
          <w:color w:val="333333"/>
          <w:spacing w:val="6"/>
          <w:sz w:val="28"/>
          <w:szCs w:val="28"/>
          <w:shd w:val="clear" w:fill="FFFFFF"/>
          <w:lang w:val="en-US" w:eastAsia="zh-CN"/>
        </w:rPr>
        <w:t>与本项目内容相符</w:t>
      </w:r>
      <w:r>
        <w:rPr>
          <w:rFonts w:hint="eastAsia" w:ascii="宋体" w:hAnsi="宋体" w:cs="仿宋_GB2312"/>
          <w:i w:val="0"/>
          <w:iCs w:val="0"/>
          <w:caps w:val="0"/>
          <w:color w:val="333333"/>
          <w:spacing w:val="6"/>
          <w:sz w:val="28"/>
          <w:szCs w:val="28"/>
          <w:highlight w:val="none"/>
          <w:shd w:val="clear" w:fill="FFFFFF"/>
          <w:lang w:val="en-US" w:eastAsia="zh-CN"/>
        </w:rPr>
        <w:t>，</w:t>
      </w:r>
      <w:r>
        <w:rPr>
          <w:rFonts w:hint="eastAsia" w:ascii="宋体" w:hAnsi="宋体" w:eastAsia="仿宋_GB2312" w:cs="仿宋_GB2312"/>
          <w:i w:val="0"/>
          <w:iCs w:val="0"/>
          <w:caps w:val="0"/>
          <w:color w:val="333333"/>
          <w:spacing w:val="6"/>
          <w:sz w:val="28"/>
          <w:szCs w:val="28"/>
          <w:highlight w:val="none"/>
          <w:shd w:val="clear" w:fill="FFFFFF"/>
        </w:rPr>
        <w:t>绩效目标与</w:t>
      </w:r>
      <w:r>
        <w:rPr>
          <w:rFonts w:hint="eastAsia" w:ascii="宋体" w:hAnsi="宋体" w:cs="仿宋_GB2312"/>
          <w:i w:val="0"/>
          <w:iCs w:val="0"/>
          <w:caps w:val="0"/>
          <w:color w:val="333333"/>
          <w:spacing w:val="6"/>
          <w:sz w:val="28"/>
          <w:szCs w:val="28"/>
          <w:highlight w:val="none"/>
          <w:shd w:val="clear" w:fill="FFFFFF"/>
          <w:lang w:val="en-US" w:eastAsia="zh-CN"/>
        </w:rPr>
        <w:t>概算需求的</w:t>
      </w:r>
      <w:r>
        <w:rPr>
          <w:rFonts w:hint="eastAsia" w:ascii="宋体" w:hAnsi="宋体" w:eastAsia="仿宋_GB2312" w:cs="仿宋_GB2312"/>
          <w:i w:val="0"/>
          <w:iCs w:val="0"/>
          <w:caps w:val="0"/>
          <w:color w:val="333333"/>
          <w:spacing w:val="6"/>
          <w:sz w:val="28"/>
          <w:szCs w:val="28"/>
          <w:highlight w:val="none"/>
          <w:shd w:val="clear" w:fill="FFFFFF"/>
        </w:rPr>
        <w:t>资金量相匹配</w:t>
      </w:r>
      <w:r>
        <w:rPr>
          <w:rFonts w:hint="eastAsia" w:ascii="宋体" w:hAnsi="宋体" w:cs="仿宋_GB2312"/>
          <w:i w:val="0"/>
          <w:iCs w:val="0"/>
          <w:caps w:val="0"/>
          <w:color w:val="333333"/>
          <w:spacing w:val="6"/>
          <w:sz w:val="28"/>
          <w:szCs w:val="28"/>
          <w:highlight w:val="none"/>
          <w:shd w:val="clear" w:fill="FFFFFF"/>
          <w:lang w:eastAsia="zh-CN"/>
        </w:rPr>
        <w:t>，</w:t>
      </w:r>
      <w:r>
        <w:rPr>
          <w:rFonts w:hint="eastAsia" w:ascii="宋体" w:hAnsi="宋体" w:cs="仿宋_GB2312"/>
          <w:i w:val="0"/>
          <w:iCs w:val="0"/>
          <w:caps w:val="0"/>
          <w:color w:val="333333"/>
          <w:spacing w:val="6"/>
          <w:sz w:val="28"/>
          <w:szCs w:val="28"/>
          <w:highlight w:val="none"/>
          <w:shd w:val="clear" w:fill="FFFFFF"/>
          <w:lang w:val="en-US" w:eastAsia="zh-CN"/>
        </w:rPr>
        <w:t>同时预期产出的效益和效果符合当地经济发展需求</w:t>
      </w:r>
      <w:r>
        <w:rPr>
          <w:rFonts w:hint="eastAsia" w:ascii="宋体" w:hAnsi="宋体" w:eastAsia="仿宋_GB2312" w:cs="仿宋_GB2312"/>
          <w:i w:val="0"/>
          <w:iCs w:val="0"/>
          <w:caps w:val="0"/>
          <w:color w:val="333333"/>
          <w:spacing w:val="6"/>
          <w:sz w:val="28"/>
          <w:szCs w:val="28"/>
          <w:highlight w:val="none"/>
          <w:shd w:val="clear" w:fill="FFFFFF"/>
        </w:rPr>
        <w:t>。</w:t>
      </w:r>
    </w:p>
    <w:p w14:paraId="4F3EDA83">
      <w:pPr>
        <w:pStyle w:val="5"/>
        <w:pageBreakBefore w:val="0"/>
        <w:wordWrap/>
        <w:overflowPunct/>
        <w:topLinePunct w:val="0"/>
        <w:bidi w:val="0"/>
        <w:ind w:firstLine="560" w:firstLineChars="200"/>
        <w:jc w:val="both"/>
        <w:textAlignment w:val="baseline"/>
        <w:rPr>
          <w:rFonts w:hint="eastAsia" w:ascii="宋体" w:hAnsi="宋体"/>
          <w:sz w:val="28"/>
          <w:szCs w:val="28"/>
        </w:rPr>
      </w:pPr>
      <w:r>
        <w:rPr>
          <w:rFonts w:hint="eastAsia" w:ascii="宋体" w:hAnsi="宋体"/>
          <w:sz w:val="28"/>
          <w:szCs w:val="28"/>
        </w:rPr>
        <w:t>（2）绩效指标明确性</w:t>
      </w:r>
    </w:p>
    <w:p w14:paraId="4934569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spacing w:val="6"/>
          <w:sz w:val="28"/>
          <w:szCs w:val="28"/>
          <w:highlight w:val="none"/>
        </w:rPr>
      </w:pPr>
      <w:r>
        <w:rPr>
          <w:rFonts w:hint="eastAsia" w:ascii="宋体" w:hAnsi="宋体" w:eastAsia="仿宋_GB2312" w:cs="仿宋_GB2312"/>
          <w:i w:val="0"/>
          <w:iCs w:val="0"/>
          <w:caps w:val="0"/>
          <w:color w:val="333333"/>
          <w:spacing w:val="6"/>
          <w:sz w:val="28"/>
          <w:szCs w:val="28"/>
          <w:shd w:val="clear" w:fill="FFFFFF"/>
        </w:rPr>
        <w:t>指标分值</w:t>
      </w:r>
      <w:r>
        <w:rPr>
          <w:rFonts w:hint="eastAsia" w:ascii="宋体" w:hAnsi="宋体" w:cs="仿宋_GB2312"/>
          <w:i w:val="0"/>
          <w:iCs w:val="0"/>
          <w:caps w:val="0"/>
          <w:color w:val="333333"/>
          <w:spacing w:val="6"/>
          <w:sz w:val="28"/>
          <w:szCs w:val="28"/>
          <w:shd w:val="clear" w:fill="FFFFFF"/>
          <w:lang w:val="en-US" w:eastAsia="zh-CN"/>
        </w:rPr>
        <w:t>5</w:t>
      </w:r>
      <w:r>
        <w:rPr>
          <w:rFonts w:hint="eastAsia" w:ascii="宋体" w:hAnsi="宋体" w:eastAsia="仿宋_GB2312" w:cs="仿宋_GB2312"/>
          <w:i w:val="0"/>
          <w:iCs w:val="0"/>
          <w:caps w:val="0"/>
          <w:color w:val="333333"/>
          <w:spacing w:val="6"/>
          <w:sz w:val="28"/>
          <w:szCs w:val="28"/>
          <w:shd w:val="clear" w:fill="FFFFFF"/>
        </w:rPr>
        <w:t>分，得</w:t>
      </w:r>
      <w:r>
        <w:rPr>
          <w:rFonts w:hint="eastAsia" w:ascii="宋体" w:hAnsi="宋体" w:cs="仿宋_GB2312"/>
          <w:i w:val="0"/>
          <w:iCs w:val="0"/>
          <w:caps w:val="0"/>
          <w:color w:val="333333"/>
          <w:spacing w:val="6"/>
          <w:sz w:val="28"/>
          <w:szCs w:val="28"/>
          <w:shd w:val="clear" w:fill="FFFFFF"/>
          <w:lang w:val="en-US" w:eastAsia="zh-CN"/>
        </w:rPr>
        <w:t>5</w:t>
      </w:r>
      <w:r>
        <w:rPr>
          <w:rFonts w:hint="eastAsia" w:ascii="宋体" w:hAnsi="宋体" w:eastAsia="仿宋_GB2312" w:cs="仿宋_GB2312"/>
          <w:i w:val="0"/>
          <w:iCs w:val="0"/>
          <w:caps w:val="0"/>
          <w:color w:val="333333"/>
          <w:spacing w:val="6"/>
          <w:sz w:val="28"/>
          <w:szCs w:val="28"/>
          <w:shd w:val="clear" w:fill="FFFFFF"/>
        </w:rPr>
        <w:t>分。</w:t>
      </w:r>
      <w:r>
        <w:rPr>
          <w:rFonts w:hint="eastAsia" w:ascii="宋体" w:hAnsi="宋体" w:eastAsia="仿宋_GB2312" w:cs="仿宋_GB2312"/>
          <w:i w:val="0"/>
          <w:iCs w:val="0"/>
          <w:caps w:val="0"/>
          <w:color w:val="333333"/>
          <w:spacing w:val="6"/>
          <w:sz w:val="28"/>
          <w:szCs w:val="28"/>
          <w:highlight w:val="none"/>
          <w:shd w:val="clear" w:fill="FFFFFF"/>
        </w:rPr>
        <w:t>依据</w:t>
      </w:r>
      <w:r>
        <w:rPr>
          <w:rFonts w:hint="eastAsia" w:ascii="宋体" w:hAnsi="宋体" w:cs="仿宋_GB2312"/>
          <w:i w:val="0"/>
          <w:iCs w:val="0"/>
          <w:caps w:val="0"/>
          <w:color w:val="333333"/>
          <w:spacing w:val="6"/>
          <w:sz w:val="28"/>
          <w:szCs w:val="28"/>
          <w:highlight w:val="none"/>
          <w:shd w:val="clear" w:fill="FFFFFF"/>
          <w:lang w:val="en-US" w:eastAsia="zh-CN"/>
        </w:rPr>
        <w:t>长春市宽城区医院</w:t>
      </w:r>
      <w:r>
        <w:rPr>
          <w:rFonts w:hint="eastAsia" w:ascii="宋体" w:hAnsi="宋体" w:eastAsia="仿宋_GB2312" w:cs="仿宋_GB2312"/>
          <w:i w:val="0"/>
          <w:iCs w:val="0"/>
          <w:caps w:val="0"/>
          <w:color w:val="333333"/>
          <w:spacing w:val="6"/>
          <w:sz w:val="28"/>
          <w:szCs w:val="28"/>
          <w:highlight w:val="none"/>
          <w:shd w:val="clear" w:fill="FFFFFF"/>
        </w:rPr>
        <w:t>提供的</w:t>
      </w:r>
      <w:r>
        <w:rPr>
          <w:rFonts w:hint="eastAsia" w:ascii="宋体" w:hAnsi="宋体" w:cs="仿宋_GB2312"/>
          <w:spacing w:val="-8"/>
          <w:sz w:val="28"/>
          <w:szCs w:val="28"/>
          <w:highlight w:val="none"/>
          <w:lang w:val="en-US" w:eastAsia="zh-CN"/>
        </w:rPr>
        <w:t>本</w:t>
      </w:r>
      <w:r>
        <w:rPr>
          <w:rFonts w:hint="eastAsia" w:ascii="宋体" w:hAnsi="宋体" w:eastAsia="仿宋_GB2312" w:cs="仿宋_GB2312"/>
          <w:spacing w:val="-8"/>
          <w:sz w:val="28"/>
          <w:szCs w:val="28"/>
          <w:highlight w:val="none"/>
          <w:lang w:val="en-US" w:eastAsia="zh-CN"/>
        </w:rPr>
        <w:t>项目</w:t>
      </w:r>
      <w:r>
        <w:rPr>
          <w:rFonts w:hint="eastAsia" w:ascii="宋体" w:hAnsi="宋体" w:eastAsia="仿宋_GB2312" w:cs="仿宋_GB2312"/>
          <w:i w:val="0"/>
          <w:iCs w:val="0"/>
          <w:caps w:val="0"/>
          <w:color w:val="333333"/>
          <w:spacing w:val="6"/>
          <w:sz w:val="28"/>
          <w:szCs w:val="28"/>
          <w:shd w:val="clear" w:fill="FFFFFF"/>
        </w:rPr>
        <w:t>《地方政府专项债券项目绩效目标申报表</w:t>
      </w:r>
      <w:r>
        <w:rPr>
          <w:rFonts w:hint="eastAsia" w:ascii="宋体" w:hAnsi="宋体" w:cs="仿宋_GB2312"/>
          <w:i w:val="0"/>
          <w:iCs w:val="0"/>
          <w:caps w:val="0"/>
          <w:color w:val="333333"/>
          <w:spacing w:val="6"/>
          <w:sz w:val="28"/>
          <w:szCs w:val="28"/>
          <w:shd w:val="clear" w:fill="FFFFFF"/>
          <w:lang w:eastAsia="zh-CN"/>
        </w:rPr>
        <w:t>（</w:t>
      </w:r>
      <w:r>
        <w:rPr>
          <w:rFonts w:hint="eastAsia" w:ascii="宋体" w:hAnsi="宋体" w:cs="仿宋_GB2312"/>
          <w:i w:val="0"/>
          <w:iCs w:val="0"/>
          <w:caps w:val="0"/>
          <w:color w:val="333333"/>
          <w:spacing w:val="6"/>
          <w:sz w:val="28"/>
          <w:szCs w:val="28"/>
          <w:shd w:val="clear" w:fill="FFFFFF"/>
          <w:lang w:val="en-US" w:eastAsia="zh-CN"/>
        </w:rPr>
        <w:t>2025年度</w:t>
      </w:r>
      <w:r>
        <w:rPr>
          <w:rFonts w:hint="eastAsia" w:ascii="宋体" w:hAnsi="宋体" w:cs="仿宋_GB2312"/>
          <w:i w:val="0"/>
          <w:iCs w:val="0"/>
          <w:caps w:val="0"/>
          <w:color w:val="333333"/>
          <w:spacing w:val="6"/>
          <w:sz w:val="28"/>
          <w:szCs w:val="28"/>
          <w:shd w:val="clear" w:fill="FFFFFF"/>
          <w:lang w:eastAsia="zh-CN"/>
        </w:rPr>
        <w:t>）</w:t>
      </w:r>
      <w:r>
        <w:rPr>
          <w:rFonts w:hint="eastAsia" w:ascii="宋体" w:hAnsi="宋体" w:eastAsia="仿宋_GB2312" w:cs="仿宋_GB2312"/>
          <w:i w:val="0"/>
          <w:iCs w:val="0"/>
          <w:caps w:val="0"/>
          <w:color w:val="333333"/>
          <w:spacing w:val="6"/>
          <w:sz w:val="28"/>
          <w:szCs w:val="28"/>
          <w:shd w:val="clear" w:fill="FFFFFF"/>
        </w:rPr>
        <w:t>》</w:t>
      </w:r>
      <w:r>
        <w:rPr>
          <w:rFonts w:hint="eastAsia" w:ascii="宋体" w:hAnsi="宋体" w:eastAsia="仿宋_GB2312" w:cs="仿宋_GB2312"/>
          <w:i w:val="0"/>
          <w:iCs w:val="0"/>
          <w:caps w:val="0"/>
          <w:color w:val="333333"/>
          <w:spacing w:val="6"/>
          <w:sz w:val="28"/>
          <w:szCs w:val="28"/>
          <w:shd w:val="clear" w:fill="FFFFFF"/>
          <w:lang w:eastAsia="zh-CN"/>
        </w:rPr>
        <w:t>，</w:t>
      </w:r>
      <w:r>
        <w:rPr>
          <w:rFonts w:hint="eastAsia" w:ascii="宋体" w:hAnsi="宋体" w:eastAsia="仿宋_GB2312" w:cs="仿宋_GB2312"/>
          <w:i w:val="0"/>
          <w:iCs w:val="0"/>
          <w:caps w:val="0"/>
          <w:color w:val="333333"/>
          <w:spacing w:val="6"/>
          <w:sz w:val="28"/>
          <w:szCs w:val="28"/>
          <w:shd w:val="clear" w:fill="FFFFFF"/>
          <w:lang w:val="en-US" w:eastAsia="zh-CN"/>
        </w:rPr>
        <w:t>申报表中</w:t>
      </w:r>
      <w:r>
        <w:rPr>
          <w:rFonts w:hint="eastAsia" w:ascii="宋体" w:hAnsi="宋体" w:eastAsia="仿宋_GB2312" w:cs="仿宋_GB2312"/>
          <w:i w:val="0"/>
          <w:iCs w:val="0"/>
          <w:caps w:val="0"/>
          <w:color w:val="333333"/>
          <w:spacing w:val="6"/>
          <w:sz w:val="28"/>
          <w:szCs w:val="28"/>
          <w:shd w:val="clear" w:fill="FFFFFF"/>
        </w:rPr>
        <w:t>将项目绩效目标细化</w:t>
      </w:r>
      <w:r>
        <w:rPr>
          <w:rFonts w:hint="eastAsia" w:ascii="宋体" w:hAnsi="宋体" w:eastAsia="仿宋_GB2312" w:cs="仿宋_GB2312"/>
          <w:i w:val="0"/>
          <w:iCs w:val="0"/>
          <w:caps w:val="0"/>
          <w:color w:val="333333"/>
          <w:spacing w:val="6"/>
          <w:sz w:val="28"/>
          <w:szCs w:val="28"/>
          <w:highlight w:val="none"/>
          <w:shd w:val="clear" w:fill="FFFFFF"/>
        </w:rPr>
        <w:t>分解为具体的绩效指标，通过清晰、可衡量的指标值予以体现</w:t>
      </w:r>
      <w:r>
        <w:rPr>
          <w:rFonts w:hint="eastAsia" w:ascii="宋体" w:hAnsi="宋体" w:cs="仿宋_GB2312"/>
          <w:i w:val="0"/>
          <w:iCs w:val="0"/>
          <w:caps w:val="0"/>
          <w:color w:val="333333"/>
          <w:spacing w:val="6"/>
          <w:sz w:val="28"/>
          <w:szCs w:val="28"/>
          <w:highlight w:val="none"/>
          <w:shd w:val="clear" w:fill="FFFFFF"/>
          <w:lang w:eastAsia="zh-CN"/>
        </w:rPr>
        <w:t>，</w:t>
      </w:r>
      <w:r>
        <w:rPr>
          <w:rFonts w:hint="eastAsia" w:ascii="宋体" w:hAnsi="宋体" w:eastAsia="仿宋_GB2312" w:cs="仿宋_GB2312"/>
          <w:i w:val="0"/>
          <w:iCs w:val="0"/>
          <w:caps w:val="0"/>
          <w:color w:val="333333"/>
          <w:spacing w:val="6"/>
          <w:sz w:val="28"/>
          <w:szCs w:val="28"/>
          <w:highlight w:val="none"/>
          <w:shd w:val="clear" w:fill="FFFFFF"/>
        </w:rPr>
        <w:t>与项目目标任务数相对应。</w:t>
      </w:r>
    </w:p>
    <w:p w14:paraId="34274B25">
      <w:pPr>
        <w:pStyle w:val="4"/>
        <w:pageBreakBefore w:val="0"/>
        <w:wordWrap/>
        <w:overflowPunct/>
        <w:topLinePunct w:val="0"/>
        <w:bidi w:val="0"/>
        <w:ind w:firstLine="560" w:firstLineChars="200"/>
        <w:jc w:val="both"/>
        <w:textAlignment w:val="baseline"/>
        <w:rPr>
          <w:rFonts w:hint="eastAsia" w:ascii="宋体" w:hAnsi="宋体"/>
          <w:sz w:val="28"/>
          <w:szCs w:val="28"/>
          <w:lang w:eastAsia="zh-CN"/>
        </w:rPr>
      </w:pPr>
      <w:bookmarkStart w:id="86" w:name="_Toc6462"/>
      <w:bookmarkStart w:id="87" w:name="_Toc28891"/>
      <w:bookmarkStart w:id="88" w:name="_Toc17543"/>
      <w:r>
        <w:rPr>
          <w:rFonts w:hint="eastAsia" w:ascii="宋体" w:hAnsi="宋体"/>
          <w:sz w:val="28"/>
          <w:szCs w:val="28"/>
        </w:rPr>
        <w:t>3.资金</w:t>
      </w:r>
      <w:r>
        <w:rPr>
          <w:rFonts w:hint="eastAsia" w:ascii="宋体" w:hAnsi="宋体"/>
          <w:sz w:val="28"/>
          <w:szCs w:val="28"/>
          <w:lang w:val="en-US" w:eastAsia="zh-CN"/>
        </w:rPr>
        <w:t>分配（满分8分，得分8分）</w:t>
      </w:r>
      <w:bookmarkEnd w:id="86"/>
      <w:bookmarkEnd w:id="87"/>
      <w:bookmarkEnd w:id="88"/>
    </w:p>
    <w:p w14:paraId="3CB5409E">
      <w:pPr>
        <w:pStyle w:val="5"/>
        <w:pageBreakBefore w:val="0"/>
        <w:wordWrap/>
        <w:overflowPunct/>
        <w:topLinePunct w:val="0"/>
        <w:bidi w:val="0"/>
        <w:ind w:firstLine="560" w:firstLineChars="200"/>
        <w:jc w:val="both"/>
        <w:textAlignment w:val="baseline"/>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平衡方案</w:t>
      </w:r>
      <w:r>
        <w:rPr>
          <w:rFonts w:hint="eastAsia" w:ascii="宋体" w:hAnsi="宋体"/>
          <w:sz w:val="28"/>
          <w:szCs w:val="28"/>
        </w:rPr>
        <w:t>编制科学性</w:t>
      </w:r>
    </w:p>
    <w:p w14:paraId="336E2A3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green"/>
          <w:shd w:val="clear" w:fill="FFFFFF"/>
          <w:lang w:val="en-US"/>
        </w:rPr>
      </w:pPr>
      <w:r>
        <w:rPr>
          <w:rFonts w:hint="eastAsia" w:ascii="宋体" w:hAnsi="宋体" w:eastAsia="仿宋_GB2312" w:cs="仿宋_GB2312"/>
          <w:i w:val="0"/>
          <w:iCs w:val="0"/>
          <w:caps w:val="0"/>
          <w:color w:val="333333"/>
          <w:spacing w:val="6"/>
          <w:sz w:val="28"/>
          <w:szCs w:val="28"/>
          <w:shd w:val="clear" w:fill="FFFFFF"/>
        </w:rPr>
        <w:t>指标分值</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分，得</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w:t>
      </w:r>
      <w:r>
        <w:rPr>
          <w:rFonts w:hint="eastAsia" w:ascii="宋体" w:hAnsi="宋体" w:eastAsia="仿宋_GB2312" w:cs="仿宋_GB2312"/>
          <w:i w:val="0"/>
          <w:iCs w:val="0"/>
          <w:caps w:val="0"/>
          <w:color w:val="333333"/>
          <w:spacing w:val="6"/>
          <w:sz w:val="28"/>
          <w:szCs w:val="28"/>
          <w:shd w:val="clear" w:fill="FFFFFF"/>
          <w:lang w:val="en-US" w:eastAsia="zh-CN"/>
        </w:rPr>
        <w:t>本项目平衡方案的编制内容完整、体系</w:t>
      </w:r>
      <w:r>
        <w:rPr>
          <w:rFonts w:hint="eastAsia" w:ascii="宋体" w:hAnsi="宋体" w:cs="仿宋_GB2312"/>
          <w:i w:val="0"/>
          <w:iCs w:val="0"/>
          <w:caps w:val="0"/>
          <w:color w:val="333333"/>
          <w:spacing w:val="6"/>
          <w:sz w:val="28"/>
          <w:szCs w:val="28"/>
          <w:shd w:val="clear" w:fill="FFFFFF"/>
          <w:lang w:val="en-US" w:eastAsia="zh-CN"/>
        </w:rPr>
        <w:t>设计科学</w:t>
      </w:r>
      <w:r>
        <w:rPr>
          <w:rFonts w:hint="eastAsia" w:ascii="宋体" w:hAnsi="宋体" w:eastAsia="仿宋_GB2312" w:cs="仿宋_GB2312"/>
          <w:i w:val="0"/>
          <w:iCs w:val="0"/>
          <w:caps w:val="0"/>
          <w:color w:val="333333"/>
          <w:spacing w:val="6"/>
          <w:sz w:val="28"/>
          <w:szCs w:val="28"/>
          <w:shd w:val="clear" w:fill="FFFFFF"/>
          <w:lang w:val="en-US" w:eastAsia="zh-CN"/>
        </w:rPr>
        <w:t>，资金分配及各年申请专项债券额度较为合理，</w:t>
      </w:r>
      <w:r>
        <w:rPr>
          <w:rFonts w:hint="eastAsia" w:ascii="宋体" w:hAnsi="宋体" w:eastAsia="仿宋_GB2312" w:cs="仿宋_GB2312"/>
          <w:i w:val="0"/>
          <w:iCs w:val="0"/>
          <w:caps w:val="0"/>
          <w:color w:val="333333"/>
          <w:spacing w:val="6"/>
          <w:sz w:val="28"/>
          <w:szCs w:val="28"/>
          <w:highlight w:val="none"/>
          <w:shd w:val="clear" w:fill="FFFFFF"/>
          <w:lang w:val="en-US" w:eastAsia="zh-CN"/>
        </w:rPr>
        <w:t>平衡方案编制的内容与申请专项债券项目内容相匹配。本项目总投资55,169.10万元，其中拟利用地方财政预算资金14,</w:t>
      </w:r>
      <w:r>
        <w:rPr>
          <w:rFonts w:hint="eastAsia" w:ascii="宋体" w:hAnsi="宋体" w:cs="仿宋_GB2312"/>
          <w:i w:val="0"/>
          <w:iCs w:val="0"/>
          <w:caps w:val="0"/>
          <w:color w:val="333333"/>
          <w:spacing w:val="6"/>
          <w:sz w:val="28"/>
          <w:szCs w:val="28"/>
          <w:highlight w:val="none"/>
          <w:shd w:val="clear" w:fill="FFFFFF"/>
          <w:lang w:val="en-US" w:eastAsia="zh-CN"/>
        </w:rPr>
        <w:t>411</w:t>
      </w:r>
      <w:r>
        <w:rPr>
          <w:rFonts w:hint="eastAsia" w:ascii="宋体" w:hAnsi="宋体" w:eastAsia="仿宋_GB2312" w:cs="仿宋_GB2312"/>
          <w:i w:val="0"/>
          <w:iCs w:val="0"/>
          <w:caps w:val="0"/>
          <w:color w:val="333333"/>
          <w:spacing w:val="6"/>
          <w:sz w:val="28"/>
          <w:szCs w:val="28"/>
          <w:highlight w:val="none"/>
          <w:shd w:val="clear" w:fill="FFFFFF"/>
          <w:lang w:val="en-US" w:eastAsia="zh-CN"/>
        </w:rPr>
        <w:t>.</w:t>
      </w:r>
      <w:r>
        <w:rPr>
          <w:rFonts w:hint="eastAsia" w:ascii="宋体" w:hAnsi="宋体" w:cs="仿宋_GB2312"/>
          <w:i w:val="0"/>
          <w:iCs w:val="0"/>
          <w:caps w:val="0"/>
          <w:color w:val="333333"/>
          <w:spacing w:val="6"/>
          <w:sz w:val="28"/>
          <w:szCs w:val="28"/>
          <w:highlight w:val="none"/>
          <w:shd w:val="clear" w:fill="FFFFFF"/>
          <w:lang w:val="en-US" w:eastAsia="zh-CN"/>
        </w:rPr>
        <w:t>07</w:t>
      </w:r>
      <w:r>
        <w:rPr>
          <w:rFonts w:hint="eastAsia" w:ascii="宋体" w:hAnsi="宋体" w:eastAsia="仿宋_GB2312" w:cs="仿宋_GB2312"/>
          <w:i w:val="0"/>
          <w:iCs w:val="0"/>
          <w:caps w:val="0"/>
          <w:color w:val="333333"/>
          <w:spacing w:val="6"/>
          <w:sz w:val="28"/>
          <w:szCs w:val="28"/>
          <w:highlight w:val="none"/>
          <w:shd w:val="clear" w:fill="FFFFFF"/>
          <w:lang w:val="en-US" w:eastAsia="zh-CN"/>
        </w:rPr>
        <w:t>万</w:t>
      </w:r>
      <w:r>
        <w:rPr>
          <w:rFonts w:hint="eastAsia" w:ascii="宋体" w:hAnsi="宋体" w:cs="仿宋_GB2312"/>
          <w:i w:val="0"/>
          <w:iCs w:val="0"/>
          <w:caps w:val="0"/>
          <w:color w:val="333333"/>
          <w:spacing w:val="6"/>
          <w:sz w:val="28"/>
          <w:szCs w:val="28"/>
          <w:highlight w:val="none"/>
          <w:shd w:val="clear" w:fill="FFFFFF"/>
          <w:lang w:val="en-US" w:eastAsia="zh-CN"/>
        </w:rPr>
        <w:t>元</w:t>
      </w:r>
      <w:r>
        <w:rPr>
          <w:rFonts w:hint="eastAsia" w:ascii="宋体" w:hAnsi="宋体" w:eastAsia="仿宋_GB2312" w:cs="仿宋_GB2312"/>
          <w:i w:val="0"/>
          <w:iCs w:val="0"/>
          <w:caps w:val="0"/>
          <w:color w:val="333333"/>
          <w:spacing w:val="6"/>
          <w:sz w:val="28"/>
          <w:szCs w:val="28"/>
          <w:highlight w:val="none"/>
          <w:shd w:val="clear" w:fill="FFFFFF"/>
          <w:lang w:val="en-US" w:eastAsia="zh-CN"/>
        </w:rPr>
        <w:t>，占比26.</w:t>
      </w:r>
      <w:r>
        <w:rPr>
          <w:rFonts w:hint="eastAsia" w:ascii="宋体" w:hAnsi="宋体" w:cs="仿宋_GB2312"/>
          <w:i w:val="0"/>
          <w:iCs w:val="0"/>
          <w:caps w:val="0"/>
          <w:color w:val="333333"/>
          <w:spacing w:val="6"/>
          <w:sz w:val="28"/>
          <w:szCs w:val="28"/>
          <w:highlight w:val="none"/>
          <w:shd w:val="clear" w:fill="FFFFFF"/>
          <w:lang w:val="en-US" w:eastAsia="zh-CN"/>
        </w:rPr>
        <w:t>12</w:t>
      </w:r>
      <w:r>
        <w:rPr>
          <w:rFonts w:hint="eastAsia" w:ascii="宋体" w:hAnsi="宋体" w:eastAsia="仿宋_GB2312" w:cs="仿宋_GB2312"/>
          <w:i w:val="0"/>
          <w:iCs w:val="0"/>
          <w:caps w:val="0"/>
          <w:color w:val="333333"/>
          <w:spacing w:val="6"/>
          <w:sz w:val="28"/>
          <w:szCs w:val="28"/>
          <w:highlight w:val="none"/>
          <w:shd w:val="clear" w:fill="FFFFFF"/>
          <w:lang w:val="en-US" w:eastAsia="zh-CN"/>
        </w:rPr>
        <w:t>%，发行专项债券40,</w:t>
      </w:r>
      <w:r>
        <w:rPr>
          <w:rFonts w:hint="eastAsia" w:ascii="宋体" w:hAnsi="宋体" w:cs="仿宋_GB2312"/>
          <w:i w:val="0"/>
          <w:iCs w:val="0"/>
          <w:caps w:val="0"/>
          <w:color w:val="333333"/>
          <w:spacing w:val="6"/>
          <w:sz w:val="28"/>
          <w:szCs w:val="28"/>
          <w:highlight w:val="none"/>
          <w:shd w:val="clear" w:fill="FFFFFF"/>
          <w:lang w:val="en-US" w:eastAsia="zh-CN"/>
        </w:rPr>
        <w:t>758.03</w:t>
      </w:r>
      <w:r>
        <w:rPr>
          <w:rFonts w:hint="eastAsia" w:ascii="宋体" w:hAnsi="宋体" w:eastAsia="仿宋_GB2312" w:cs="仿宋_GB2312"/>
          <w:i w:val="0"/>
          <w:iCs w:val="0"/>
          <w:caps w:val="0"/>
          <w:color w:val="333333"/>
          <w:spacing w:val="6"/>
          <w:sz w:val="28"/>
          <w:szCs w:val="28"/>
          <w:highlight w:val="none"/>
          <w:shd w:val="clear" w:fill="FFFFFF"/>
          <w:lang w:val="en-US" w:eastAsia="zh-CN"/>
        </w:rPr>
        <w:t>万元</w:t>
      </w:r>
      <w:r>
        <w:rPr>
          <w:rFonts w:hint="eastAsia" w:ascii="宋体" w:hAnsi="宋体" w:cs="仿宋_GB2312"/>
          <w:i w:val="0"/>
          <w:iCs w:val="0"/>
          <w:caps w:val="0"/>
          <w:color w:val="333333"/>
          <w:spacing w:val="6"/>
          <w:sz w:val="28"/>
          <w:szCs w:val="28"/>
          <w:highlight w:val="none"/>
          <w:shd w:val="clear" w:fill="FFFFFF"/>
          <w:lang w:val="en-US" w:eastAsia="zh-CN"/>
        </w:rPr>
        <w:t>，</w:t>
      </w:r>
      <w:r>
        <w:rPr>
          <w:rFonts w:hint="eastAsia" w:ascii="宋体" w:hAnsi="宋体" w:eastAsia="仿宋_GB2312" w:cs="仿宋_GB2312"/>
          <w:i w:val="0"/>
          <w:iCs w:val="0"/>
          <w:caps w:val="0"/>
          <w:color w:val="333333"/>
          <w:spacing w:val="6"/>
          <w:sz w:val="28"/>
          <w:szCs w:val="28"/>
          <w:highlight w:val="none"/>
          <w:shd w:val="clear" w:fill="FFFFFF"/>
          <w:lang w:val="en-US" w:eastAsia="zh-CN"/>
        </w:rPr>
        <w:t>占比73.</w:t>
      </w:r>
      <w:r>
        <w:rPr>
          <w:rFonts w:hint="eastAsia" w:ascii="宋体" w:hAnsi="宋体" w:cs="仿宋_GB2312"/>
          <w:i w:val="0"/>
          <w:iCs w:val="0"/>
          <w:caps w:val="0"/>
          <w:color w:val="333333"/>
          <w:spacing w:val="6"/>
          <w:sz w:val="28"/>
          <w:szCs w:val="28"/>
          <w:highlight w:val="none"/>
          <w:shd w:val="clear" w:fill="FFFFFF"/>
          <w:lang w:val="en-US" w:eastAsia="zh-CN"/>
        </w:rPr>
        <w:t>88</w:t>
      </w:r>
      <w:r>
        <w:rPr>
          <w:rFonts w:hint="eastAsia" w:ascii="宋体" w:hAnsi="宋体" w:eastAsia="仿宋_GB2312" w:cs="仿宋_GB2312"/>
          <w:i w:val="0"/>
          <w:iCs w:val="0"/>
          <w:caps w:val="0"/>
          <w:color w:val="333333"/>
          <w:spacing w:val="6"/>
          <w:sz w:val="28"/>
          <w:szCs w:val="28"/>
          <w:highlight w:val="none"/>
          <w:shd w:val="clear" w:fill="FFFFFF"/>
          <w:lang w:val="en-US" w:eastAsia="zh-CN"/>
        </w:rPr>
        <w:t>%，</w:t>
      </w:r>
      <w:r>
        <w:rPr>
          <w:rFonts w:hint="eastAsia" w:ascii="宋体" w:hAnsi="宋体" w:cs="仿宋_GB2312"/>
          <w:i w:val="0"/>
          <w:iCs w:val="0"/>
          <w:caps w:val="0"/>
          <w:color w:val="333333"/>
          <w:spacing w:val="6"/>
          <w:sz w:val="28"/>
          <w:szCs w:val="28"/>
          <w:highlight w:val="none"/>
          <w:shd w:val="clear" w:fill="FFFFFF"/>
          <w:lang w:val="en-US" w:eastAsia="zh-CN"/>
        </w:rPr>
        <w:t>本年度发行7,600万元</w:t>
      </w:r>
      <w:r>
        <w:rPr>
          <w:rFonts w:hint="eastAsia" w:ascii="宋体" w:hAnsi="宋体" w:eastAsia="仿宋_GB2312" w:cs="仿宋_GB2312"/>
          <w:i w:val="0"/>
          <w:iCs w:val="0"/>
          <w:caps w:val="0"/>
          <w:color w:val="333333"/>
          <w:spacing w:val="6"/>
          <w:sz w:val="28"/>
          <w:szCs w:val="28"/>
          <w:highlight w:val="none"/>
          <w:shd w:val="clear" w:fill="FFFFFF"/>
          <w:lang w:val="en-US" w:eastAsia="zh-CN"/>
        </w:rPr>
        <w:t>。资金额度满足专项债券资金管理要求。</w:t>
      </w:r>
    </w:p>
    <w:p w14:paraId="44E73D01">
      <w:pPr>
        <w:pStyle w:val="5"/>
        <w:pageBreakBefore w:val="0"/>
        <w:wordWrap/>
        <w:overflowPunct/>
        <w:topLinePunct w:val="0"/>
        <w:bidi w:val="0"/>
        <w:ind w:firstLine="560" w:firstLineChars="200"/>
        <w:jc w:val="both"/>
        <w:textAlignment w:val="baseline"/>
        <w:rPr>
          <w:rFonts w:hint="eastAsia"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lang w:val="en-US" w:eastAsia="zh-CN"/>
        </w:rPr>
        <w:t>资金分配的合理性</w:t>
      </w:r>
    </w:p>
    <w:p w14:paraId="768770D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rPr>
      </w:pPr>
      <w:r>
        <w:rPr>
          <w:rFonts w:hint="eastAsia" w:ascii="宋体" w:hAnsi="宋体" w:eastAsia="仿宋_GB2312" w:cs="仿宋_GB2312"/>
          <w:i w:val="0"/>
          <w:iCs w:val="0"/>
          <w:caps w:val="0"/>
          <w:color w:val="333333"/>
          <w:spacing w:val="6"/>
          <w:sz w:val="28"/>
          <w:szCs w:val="28"/>
          <w:shd w:val="clear" w:fill="FFFFFF"/>
          <w:lang w:val="en-US" w:eastAsia="zh-CN"/>
        </w:rPr>
        <w:t>指标分值</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lang w:val="en-US" w:eastAsia="zh-CN"/>
        </w:rPr>
        <w:t>分，得</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lang w:val="en-US" w:eastAsia="zh-CN"/>
        </w:rPr>
        <w:t>分。依据本项目平衡方案，本项目专项债资金额度与当年专项债项目任务相匹配，专项债券资金分配使用依据充分</w:t>
      </w:r>
      <w:r>
        <w:rPr>
          <w:rFonts w:hint="eastAsia" w:ascii="宋体" w:hAnsi="宋体" w:cs="仿宋_GB2312"/>
          <w:i w:val="0"/>
          <w:iCs w:val="0"/>
          <w:caps w:val="0"/>
          <w:color w:val="333333"/>
          <w:spacing w:val="6"/>
          <w:sz w:val="28"/>
          <w:szCs w:val="28"/>
          <w:shd w:val="clear" w:fill="FFFFFF"/>
          <w:lang w:val="en-US" w:eastAsia="zh-CN"/>
        </w:rPr>
        <w:t>，</w:t>
      </w:r>
      <w:r>
        <w:rPr>
          <w:rFonts w:hint="eastAsia" w:ascii="宋体" w:hAnsi="宋体" w:eastAsia="仿宋_GB2312" w:cs="仿宋_GB2312"/>
          <w:i w:val="0"/>
          <w:iCs w:val="0"/>
          <w:caps w:val="0"/>
          <w:color w:val="333333"/>
          <w:spacing w:val="6"/>
          <w:sz w:val="28"/>
          <w:szCs w:val="28"/>
          <w:shd w:val="clear" w:fill="FFFFFF"/>
          <w:lang w:val="en-US" w:eastAsia="zh-CN"/>
        </w:rPr>
        <w:t>自筹资金、债券资金额度分配合理，项目全生命周期收益与拟发债期限相匹配。</w:t>
      </w:r>
    </w:p>
    <w:p w14:paraId="1537276A">
      <w:pPr>
        <w:pStyle w:val="3"/>
        <w:pageBreakBefore w:val="0"/>
        <w:wordWrap/>
        <w:overflowPunct/>
        <w:topLinePunct w:val="0"/>
        <w:bidi w:val="0"/>
        <w:ind w:firstLine="562" w:firstLineChars="200"/>
        <w:jc w:val="both"/>
        <w:textAlignment w:val="baseline"/>
        <w:rPr>
          <w:rFonts w:hint="eastAsia" w:ascii="宋体" w:hAnsi="宋体"/>
          <w:sz w:val="28"/>
          <w:szCs w:val="28"/>
        </w:rPr>
      </w:pPr>
      <w:bookmarkStart w:id="89" w:name="_Toc30894"/>
      <w:r>
        <w:rPr>
          <w:rFonts w:hint="eastAsia" w:ascii="宋体" w:hAnsi="宋体"/>
          <w:sz w:val="28"/>
          <w:szCs w:val="28"/>
        </w:rPr>
        <w:t>（二）</w:t>
      </w:r>
      <w:r>
        <w:rPr>
          <w:rFonts w:hint="eastAsia" w:ascii="宋体" w:hAnsi="宋体"/>
          <w:sz w:val="28"/>
          <w:szCs w:val="28"/>
          <w:lang w:val="en-US" w:eastAsia="zh-CN"/>
        </w:rPr>
        <w:t>管理</w:t>
      </w:r>
      <w:r>
        <w:rPr>
          <w:rFonts w:hint="eastAsia" w:ascii="宋体" w:hAnsi="宋体"/>
          <w:sz w:val="28"/>
          <w:szCs w:val="28"/>
        </w:rPr>
        <w:t>情况分析</w:t>
      </w:r>
      <w:bookmarkEnd w:id="89"/>
    </w:p>
    <w:p w14:paraId="516281A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lang w:val="en-US" w:eastAsia="zh-CN"/>
        </w:rPr>
      </w:pPr>
      <w:r>
        <w:rPr>
          <w:rFonts w:hint="eastAsia" w:ascii="宋体" w:hAnsi="宋体" w:eastAsia="仿宋_GB2312" w:cs="仿宋_GB2312"/>
          <w:i w:val="0"/>
          <w:iCs w:val="0"/>
          <w:caps w:val="0"/>
          <w:color w:val="333333"/>
          <w:spacing w:val="6"/>
          <w:sz w:val="28"/>
          <w:szCs w:val="28"/>
          <w:shd w:val="clear" w:fill="FFFFFF"/>
          <w:lang w:val="en-US" w:eastAsia="zh-CN"/>
        </w:rPr>
        <w:t>“管理”指标涉及二级指标2个，三级指标5个。总分值为20分，得分1</w:t>
      </w:r>
      <w:r>
        <w:rPr>
          <w:rFonts w:hint="eastAsia" w:ascii="宋体" w:hAnsi="宋体" w:cs="仿宋_GB2312"/>
          <w:i w:val="0"/>
          <w:iCs w:val="0"/>
          <w:caps w:val="0"/>
          <w:color w:val="333333"/>
          <w:spacing w:val="6"/>
          <w:sz w:val="28"/>
          <w:szCs w:val="28"/>
          <w:shd w:val="clear" w:fill="FFFFFF"/>
          <w:lang w:val="en-US" w:eastAsia="zh-CN"/>
        </w:rPr>
        <w:t>8.5</w:t>
      </w:r>
      <w:r>
        <w:rPr>
          <w:rFonts w:hint="eastAsia" w:ascii="宋体" w:hAnsi="宋体" w:eastAsia="仿宋_GB2312" w:cs="仿宋_GB2312"/>
          <w:i w:val="0"/>
          <w:iCs w:val="0"/>
          <w:caps w:val="0"/>
          <w:color w:val="333333"/>
          <w:spacing w:val="6"/>
          <w:sz w:val="28"/>
          <w:szCs w:val="28"/>
          <w:shd w:val="clear" w:fill="FFFFFF"/>
          <w:lang w:val="en-US" w:eastAsia="zh-CN"/>
        </w:rPr>
        <w:t>分，得分率为</w:t>
      </w:r>
      <w:r>
        <w:rPr>
          <w:rFonts w:hint="eastAsia" w:ascii="宋体" w:hAnsi="宋体" w:cs="仿宋_GB2312"/>
          <w:i w:val="0"/>
          <w:iCs w:val="0"/>
          <w:caps w:val="0"/>
          <w:color w:val="333333"/>
          <w:spacing w:val="6"/>
          <w:sz w:val="28"/>
          <w:szCs w:val="28"/>
          <w:shd w:val="clear" w:fill="FFFFFF"/>
          <w:lang w:val="en-US" w:eastAsia="zh-CN"/>
        </w:rPr>
        <w:t>92.5</w:t>
      </w:r>
      <w:r>
        <w:rPr>
          <w:rFonts w:hint="eastAsia" w:ascii="宋体" w:hAnsi="宋体" w:eastAsia="仿宋_GB2312" w:cs="仿宋_GB2312"/>
          <w:i w:val="0"/>
          <w:iCs w:val="0"/>
          <w:caps w:val="0"/>
          <w:color w:val="333333"/>
          <w:spacing w:val="6"/>
          <w:sz w:val="28"/>
          <w:szCs w:val="28"/>
          <w:shd w:val="clear" w:fill="FFFFFF"/>
          <w:lang w:val="en-US" w:eastAsia="zh-CN"/>
        </w:rPr>
        <w:t>%。</w:t>
      </w:r>
      <w:bookmarkStart w:id="90" w:name="_Toc2104"/>
      <w:bookmarkStart w:id="91" w:name="_Toc27361"/>
    </w:p>
    <w:p w14:paraId="0F72B3C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lang w:val="en-US" w:eastAsia="zh-CN"/>
        </w:rPr>
      </w:pPr>
      <w:r>
        <w:rPr>
          <w:rFonts w:hint="eastAsia" w:ascii="宋体" w:hAnsi="宋体" w:eastAsia="仿宋_GB2312" w:cs="仿宋_GB2312"/>
          <w:i w:val="0"/>
          <w:iCs w:val="0"/>
          <w:caps w:val="0"/>
          <w:color w:val="333333"/>
          <w:spacing w:val="6"/>
          <w:sz w:val="28"/>
          <w:szCs w:val="28"/>
          <w:shd w:val="clear" w:fill="FFFFFF"/>
          <w:lang w:val="en-US" w:eastAsia="zh-CN"/>
        </w:rPr>
        <w:t>1.资金管理（满分</w:t>
      </w:r>
      <w:r>
        <w:rPr>
          <w:rFonts w:hint="eastAsia" w:ascii="宋体" w:hAnsi="宋体" w:cs="仿宋_GB2312"/>
          <w:i w:val="0"/>
          <w:iCs w:val="0"/>
          <w:caps w:val="0"/>
          <w:color w:val="333333"/>
          <w:spacing w:val="6"/>
          <w:sz w:val="28"/>
          <w:szCs w:val="28"/>
          <w:shd w:val="clear" w:fill="FFFFFF"/>
          <w:lang w:val="en-US" w:eastAsia="zh-CN"/>
        </w:rPr>
        <w:t>8</w:t>
      </w:r>
      <w:r>
        <w:rPr>
          <w:rFonts w:hint="eastAsia" w:ascii="宋体" w:hAnsi="宋体" w:eastAsia="仿宋_GB2312" w:cs="仿宋_GB2312"/>
          <w:i w:val="0"/>
          <w:iCs w:val="0"/>
          <w:caps w:val="0"/>
          <w:color w:val="333333"/>
          <w:spacing w:val="6"/>
          <w:sz w:val="28"/>
          <w:szCs w:val="28"/>
          <w:shd w:val="clear" w:fill="FFFFFF"/>
          <w:lang w:val="en-US" w:eastAsia="zh-CN"/>
        </w:rPr>
        <w:t>分，得分</w:t>
      </w:r>
      <w:r>
        <w:rPr>
          <w:rFonts w:hint="eastAsia" w:ascii="宋体" w:hAnsi="宋体" w:cs="仿宋_GB2312"/>
          <w:i w:val="0"/>
          <w:iCs w:val="0"/>
          <w:caps w:val="0"/>
          <w:color w:val="333333"/>
          <w:spacing w:val="6"/>
          <w:sz w:val="28"/>
          <w:szCs w:val="28"/>
          <w:shd w:val="clear" w:fill="FFFFFF"/>
          <w:lang w:val="en-US" w:eastAsia="zh-CN"/>
        </w:rPr>
        <w:t>7.5</w:t>
      </w:r>
      <w:r>
        <w:rPr>
          <w:rFonts w:hint="eastAsia" w:ascii="宋体" w:hAnsi="宋体" w:eastAsia="仿宋_GB2312" w:cs="仿宋_GB2312"/>
          <w:i w:val="0"/>
          <w:iCs w:val="0"/>
          <w:caps w:val="0"/>
          <w:color w:val="333333"/>
          <w:spacing w:val="6"/>
          <w:sz w:val="28"/>
          <w:szCs w:val="28"/>
          <w:shd w:val="clear" w:fill="FFFFFF"/>
          <w:lang w:val="en-US" w:eastAsia="zh-CN"/>
        </w:rPr>
        <w:t>分）</w:t>
      </w:r>
      <w:bookmarkEnd w:id="90"/>
      <w:bookmarkEnd w:id="91"/>
    </w:p>
    <w:p w14:paraId="76B6C64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lang w:val="en-US" w:eastAsia="zh-CN"/>
        </w:rPr>
      </w:pPr>
      <w:r>
        <w:rPr>
          <w:rFonts w:hint="eastAsia" w:ascii="宋体" w:hAnsi="宋体" w:eastAsia="仿宋_GB2312" w:cs="仿宋_GB2312"/>
          <w:i w:val="0"/>
          <w:iCs w:val="0"/>
          <w:caps w:val="0"/>
          <w:color w:val="333333"/>
          <w:spacing w:val="6"/>
          <w:sz w:val="28"/>
          <w:szCs w:val="28"/>
          <w:shd w:val="clear" w:fill="FFFFFF"/>
          <w:lang w:val="en-US" w:eastAsia="zh-CN"/>
        </w:rPr>
        <w:t>（1）管理制度健全性</w:t>
      </w:r>
    </w:p>
    <w:p w14:paraId="66433E6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000000"/>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shd w:val="clear" w:fill="FFFFFF"/>
          <w:lang w:val="en-US" w:eastAsia="zh-CN"/>
        </w:rPr>
        <w:t>指标分值</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lang w:val="en-US" w:eastAsia="zh-CN"/>
        </w:rPr>
        <w:t>分，得分</w:t>
      </w:r>
      <w:r>
        <w:rPr>
          <w:rFonts w:hint="eastAsia" w:ascii="宋体" w:hAnsi="宋体" w:cs="仿宋_GB2312"/>
          <w:i w:val="0"/>
          <w:iCs w:val="0"/>
          <w:caps w:val="0"/>
          <w:color w:val="333333"/>
          <w:spacing w:val="6"/>
          <w:sz w:val="28"/>
          <w:szCs w:val="28"/>
          <w:shd w:val="clear" w:fill="FFFFFF"/>
          <w:lang w:val="en-US" w:eastAsia="zh-CN"/>
        </w:rPr>
        <w:t>3</w:t>
      </w:r>
      <w:r>
        <w:rPr>
          <w:rFonts w:hint="eastAsia" w:ascii="宋体" w:hAnsi="宋体" w:eastAsia="仿宋_GB2312" w:cs="仿宋_GB2312"/>
          <w:i w:val="0"/>
          <w:iCs w:val="0"/>
          <w:caps w:val="0"/>
          <w:color w:val="333333"/>
          <w:spacing w:val="6"/>
          <w:sz w:val="28"/>
          <w:szCs w:val="28"/>
          <w:shd w:val="clear" w:fill="FFFFFF"/>
          <w:lang w:val="en-US" w:eastAsia="zh-CN"/>
        </w:rPr>
        <w:t>.5分，扣0.5分。长春市宽城区医院成立了专门的管理机构负责项目建设和运营，对项目变更调整理由充分，手续完备。同时制定了专项债券财务管理制度，对资金收款、付款流程和资金使用进度进行了明确的规定，但在项目实施过程中整体流程不够细化，扣0.5分。</w:t>
      </w:r>
    </w:p>
    <w:p w14:paraId="64B55389">
      <w:pPr>
        <w:pStyle w:val="5"/>
        <w:pageBreakBefore w:val="0"/>
        <w:wordWrap/>
        <w:overflowPunct/>
        <w:topLinePunct w:val="0"/>
        <w:bidi w:val="0"/>
        <w:ind w:firstLine="560" w:firstLineChars="200"/>
        <w:jc w:val="both"/>
        <w:textAlignment w:val="baseline"/>
        <w:rPr>
          <w:rFonts w:hint="eastAsia"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lang w:val="en-US" w:eastAsia="zh-CN"/>
        </w:rPr>
        <w:t>组织实施有效性</w:t>
      </w:r>
    </w:p>
    <w:p w14:paraId="2A72873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default"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指标分值4分，得分</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lang w:val="en-US" w:eastAsia="zh-CN"/>
        </w:rPr>
        <w:t>分。根据宽城区医院提供的情况说明及平衡方案，本项目实施的人员条件、场地设备、信息支撑均已落实到位。通过查看财务相关资料，截至目前已签订的项目合同书等资料齐全并已归档管理。专项债券信息已按规定进行信息公开。</w:t>
      </w:r>
      <w:r>
        <w:rPr>
          <w:rFonts w:hint="eastAsia" w:ascii="宋体" w:hAnsi="宋体" w:cs="仿宋_GB2312"/>
          <w:i w:val="0"/>
          <w:iCs w:val="0"/>
          <w:caps w:val="0"/>
          <w:color w:val="333333"/>
          <w:spacing w:val="6"/>
          <w:sz w:val="28"/>
          <w:szCs w:val="28"/>
          <w:highlight w:val="none"/>
          <w:shd w:val="clear" w:fill="FFFFFF"/>
          <w:lang w:val="en-US" w:eastAsia="zh-CN"/>
        </w:rPr>
        <w:t>依据提供的竣工验收证书等，</w:t>
      </w:r>
      <w:r>
        <w:rPr>
          <w:rFonts w:hint="eastAsia" w:ascii="宋体" w:hAnsi="宋体" w:eastAsia="仿宋_GB2312" w:cs="仿宋_GB2312"/>
          <w:i w:val="0"/>
          <w:iCs w:val="0"/>
          <w:caps w:val="0"/>
          <w:color w:val="333333"/>
          <w:spacing w:val="6"/>
          <w:sz w:val="28"/>
          <w:szCs w:val="28"/>
          <w:highlight w:val="none"/>
          <w:shd w:val="clear" w:fill="FFFFFF"/>
          <w:lang w:val="en-US" w:eastAsia="zh-CN"/>
        </w:rPr>
        <w:t>与本项目建设有关的市政道路、水</w:t>
      </w:r>
      <w:r>
        <w:rPr>
          <w:rFonts w:hint="eastAsia" w:ascii="宋体" w:hAnsi="宋体" w:cs="仿宋_GB2312"/>
          <w:i w:val="0"/>
          <w:iCs w:val="0"/>
          <w:caps w:val="0"/>
          <w:color w:val="333333"/>
          <w:spacing w:val="6"/>
          <w:sz w:val="28"/>
          <w:szCs w:val="28"/>
          <w:highlight w:val="none"/>
          <w:shd w:val="clear" w:fill="FFFFFF"/>
          <w:lang w:val="en-US" w:eastAsia="zh-CN"/>
        </w:rPr>
        <w:t>、</w:t>
      </w:r>
      <w:r>
        <w:rPr>
          <w:rFonts w:hint="eastAsia" w:ascii="宋体" w:hAnsi="宋体" w:eastAsia="仿宋_GB2312" w:cs="仿宋_GB2312"/>
          <w:i w:val="0"/>
          <w:iCs w:val="0"/>
          <w:caps w:val="0"/>
          <w:color w:val="333333"/>
          <w:spacing w:val="6"/>
          <w:sz w:val="28"/>
          <w:szCs w:val="28"/>
          <w:highlight w:val="none"/>
          <w:shd w:val="clear" w:fill="FFFFFF"/>
          <w:lang w:val="en-US" w:eastAsia="zh-CN"/>
        </w:rPr>
        <w:t>电等配套基础设施</w:t>
      </w:r>
      <w:r>
        <w:rPr>
          <w:rFonts w:hint="eastAsia" w:ascii="宋体" w:hAnsi="宋体" w:cs="仿宋_GB2312"/>
          <w:i w:val="0"/>
          <w:iCs w:val="0"/>
          <w:caps w:val="0"/>
          <w:color w:val="333333"/>
          <w:spacing w:val="6"/>
          <w:sz w:val="28"/>
          <w:szCs w:val="28"/>
          <w:highlight w:val="none"/>
          <w:shd w:val="clear" w:fill="FFFFFF"/>
          <w:lang w:val="en-US" w:eastAsia="zh-CN"/>
        </w:rPr>
        <w:t>已</w:t>
      </w:r>
      <w:r>
        <w:rPr>
          <w:rFonts w:hint="eastAsia" w:ascii="宋体" w:hAnsi="宋体" w:eastAsia="仿宋_GB2312" w:cs="仿宋_GB2312"/>
          <w:i w:val="0"/>
          <w:iCs w:val="0"/>
          <w:caps w:val="0"/>
          <w:color w:val="333333"/>
          <w:spacing w:val="6"/>
          <w:sz w:val="28"/>
          <w:szCs w:val="28"/>
          <w:highlight w:val="none"/>
          <w:shd w:val="clear" w:fill="FFFFFF"/>
          <w:lang w:val="en-US" w:eastAsia="zh-CN"/>
        </w:rPr>
        <w:t>完</w:t>
      </w:r>
      <w:r>
        <w:rPr>
          <w:rFonts w:hint="eastAsia" w:ascii="宋体" w:hAnsi="宋体" w:cs="仿宋_GB2312"/>
          <w:i w:val="0"/>
          <w:iCs w:val="0"/>
          <w:caps w:val="0"/>
          <w:color w:val="333333"/>
          <w:spacing w:val="6"/>
          <w:sz w:val="28"/>
          <w:szCs w:val="28"/>
          <w:highlight w:val="none"/>
          <w:shd w:val="clear" w:fill="FFFFFF"/>
          <w:lang w:val="en-US" w:eastAsia="zh-CN"/>
        </w:rPr>
        <w:t>工</w:t>
      </w:r>
      <w:r>
        <w:rPr>
          <w:rFonts w:hint="eastAsia" w:ascii="宋体" w:hAnsi="宋体" w:eastAsia="仿宋_GB2312" w:cs="仿宋_GB2312"/>
          <w:i w:val="0"/>
          <w:iCs w:val="0"/>
          <w:caps w:val="0"/>
          <w:color w:val="333333"/>
          <w:spacing w:val="6"/>
          <w:sz w:val="28"/>
          <w:szCs w:val="28"/>
          <w:highlight w:val="none"/>
          <w:shd w:val="clear" w:fill="FFFFFF"/>
          <w:lang w:val="en-US" w:eastAsia="zh-CN"/>
        </w:rPr>
        <w:t>。</w:t>
      </w:r>
    </w:p>
    <w:p w14:paraId="20246AFA">
      <w:pPr>
        <w:pageBreakBefore w:val="0"/>
        <w:wordWrap/>
        <w:overflowPunct/>
        <w:topLinePunct w:val="0"/>
        <w:bidi w:val="0"/>
        <w:ind w:firstLine="560" w:firstLineChars="200"/>
        <w:jc w:val="both"/>
        <w:textAlignment w:val="baseline"/>
        <w:rPr>
          <w:rFonts w:hint="eastAsia" w:eastAsia="仿宋_GB2312"/>
          <w:sz w:val="28"/>
          <w:szCs w:val="28"/>
          <w:lang w:val="en-US" w:eastAsia="zh-CN"/>
        </w:rPr>
      </w:pPr>
      <w:r>
        <w:rPr>
          <w:rFonts w:hint="eastAsia" w:ascii="宋体" w:hAnsi="宋体"/>
          <w:sz w:val="28"/>
          <w:szCs w:val="28"/>
          <w:lang w:val="en-US" w:eastAsia="zh-CN"/>
        </w:rPr>
        <w:t>2</w:t>
      </w:r>
      <w:r>
        <w:rPr>
          <w:rFonts w:hint="eastAsia" w:ascii="宋体" w:hAnsi="宋体"/>
          <w:sz w:val="28"/>
          <w:szCs w:val="28"/>
        </w:rPr>
        <w:t>.资金</w:t>
      </w:r>
      <w:r>
        <w:rPr>
          <w:rFonts w:hint="eastAsia" w:ascii="宋体" w:hAnsi="宋体"/>
          <w:sz w:val="28"/>
          <w:szCs w:val="28"/>
          <w:lang w:val="en-US" w:eastAsia="zh-CN"/>
        </w:rPr>
        <w:t>使用</w:t>
      </w:r>
      <w:r>
        <w:rPr>
          <w:rFonts w:hint="eastAsia" w:ascii="宋体" w:hAnsi="宋体"/>
          <w:sz w:val="28"/>
          <w:szCs w:val="28"/>
          <w:lang w:eastAsia="zh-CN"/>
        </w:rPr>
        <w:t>（</w:t>
      </w:r>
      <w:r>
        <w:rPr>
          <w:rFonts w:hint="eastAsia" w:ascii="宋体" w:hAnsi="宋体"/>
          <w:sz w:val="28"/>
          <w:szCs w:val="28"/>
          <w:lang w:val="en-US" w:eastAsia="zh-CN"/>
        </w:rPr>
        <w:t>满分12分，得分11分</w:t>
      </w:r>
      <w:r>
        <w:rPr>
          <w:rFonts w:hint="eastAsia" w:ascii="宋体" w:hAnsi="宋体"/>
          <w:sz w:val="28"/>
          <w:szCs w:val="28"/>
          <w:lang w:eastAsia="zh-CN"/>
        </w:rPr>
        <w:t>）</w:t>
      </w:r>
    </w:p>
    <w:p w14:paraId="5D3F59B0">
      <w:pPr>
        <w:pStyle w:val="5"/>
        <w:pageBreakBefore w:val="0"/>
        <w:wordWrap/>
        <w:overflowPunct/>
        <w:topLinePunct w:val="0"/>
        <w:bidi w:val="0"/>
        <w:ind w:firstLine="560" w:firstLineChars="200"/>
        <w:jc w:val="both"/>
        <w:textAlignment w:val="baseline"/>
        <w:rPr>
          <w:rFonts w:hint="eastAsia" w:ascii="宋体" w:hAnsi="宋体"/>
          <w:sz w:val="28"/>
          <w:szCs w:val="28"/>
        </w:rPr>
      </w:pPr>
      <w:r>
        <w:rPr>
          <w:rFonts w:hint="eastAsia" w:ascii="宋体" w:hAnsi="宋体"/>
          <w:sz w:val="28"/>
          <w:szCs w:val="28"/>
        </w:rPr>
        <w:t>（1）资金使用合规性</w:t>
      </w:r>
    </w:p>
    <w:p w14:paraId="42250E9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sz w:val="28"/>
          <w:szCs w:val="28"/>
          <w:highlight w:val="none"/>
        </w:rPr>
      </w:pPr>
      <w:r>
        <w:rPr>
          <w:rFonts w:hint="eastAsia" w:ascii="宋体" w:hAnsi="宋体" w:eastAsia="仿宋_GB2312" w:cs="仿宋_GB2312"/>
          <w:i w:val="0"/>
          <w:iCs w:val="0"/>
          <w:caps w:val="0"/>
          <w:color w:val="333333"/>
          <w:spacing w:val="6"/>
          <w:sz w:val="28"/>
          <w:szCs w:val="28"/>
          <w:highlight w:val="none"/>
          <w:shd w:val="clear" w:fill="FFFFFF"/>
        </w:rPr>
        <w:t>指标分值4分，得</w:t>
      </w:r>
      <w:r>
        <w:rPr>
          <w:rFonts w:hint="eastAsia" w:ascii="宋体" w:hAnsi="宋体" w:cs="仿宋_GB2312"/>
          <w:i w:val="0"/>
          <w:iCs w:val="0"/>
          <w:caps w:val="0"/>
          <w:color w:val="333333"/>
          <w:spacing w:val="6"/>
          <w:sz w:val="28"/>
          <w:szCs w:val="28"/>
          <w:highlight w:val="none"/>
          <w:shd w:val="clear" w:fill="FFFFFF"/>
          <w:lang w:val="en-US" w:eastAsia="zh-CN"/>
        </w:rPr>
        <w:t>3</w:t>
      </w:r>
      <w:r>
        <w:rPr>
          <w:rFonts w:hint="eastAsia" w:ascii="宋体" w:hAnsi="宋体" w:eastAsia="仿宋_GB2312" w:cs="仿宋_GB2312"/>
          <w:i w:val="0"/>
          <w:iCs w:val="0"/>
          <w:caps w:val="0"/>
          <w:color w:val="333333"/>
          <w:spacing w:val="6"/>
          <w:sz w:val="28"/>
          <w:szCs w:val="28"/>
          <w:highlight w:val="none"/>
          <w:shd w:val="clear" w:fill="FFFFFF"/>
        </w:rPr>
        <w:t>分，扣</w:t>
      </w:r>
      <w:r>
        <w:rPr>
          <w:rFonts w:hint="eastAsia" w:ascii="宋体" w:hAnsi="宋体" w:cs="仿宋_GB2312"/>
          <w:i w:val="0"/>
          <w:iCs w:val="0"/>
          <w:caps w:val="0"/>
          <w:color w:val="333333"/>
          <w:spacing w:val="6"/>
          <w:sz w:val="28"/>
          <w:szCs w:val="28"/>
          <w:highlight w:val="none"/>
          <w:shd w:val="clear" w:fill="FFFFFF"/>
          <w:lang w:val="en-US" w:eastAsia="zh-CN"/>
        </w:rPr>
        <w:t>1</w:t>
      </w:r>
      <w:r>
        <w:rPr>
          <w:rFonts w:hint="eastAsia" w:ascii="宋体" w:hAnsi="宋体" w:eastAsia="仿宋_GB2312" w:cs="仿宋_GB2312"/>
          <w:i w:val="0"/>
          <w:iCs w:val="0"/>
          <w:caps w:val="0"/>
          <w:color w:val="333333"/>
          <w:spacing w:val="6"/>
          <w:sz w:val="28"/>
          <w:szCs w:val="28"/>
          <w:highlight w:val="none"/>
          <w:shd w:val="clear" w:fill="FFFFFF"/>
        </w:rPr>
        <w:t>分。本项目专项债券资金在202</w:t>
      </w:r>
      <w:r>
        <w:rPr>
          <w:rFonts w:hint="eastAsia" w:ascii="宋体" w:hAnsi="宋体" w:cs="仿宋_GB2312"/>
          <w:i w:val="0"/>
          <w:iCs w:val="0"/>
          <w:caps w:val="0"/>
          <w:color w:val="333333"/>
          <w:spacing w:val="6"/>
          <w:sz w:val="28"/>
          <w:szCs w:val="28"/>
          <w:highlight w:val="none"/>
          <w:shd w:val="clear" w:fill="FFFFFF"/>
          <w:lang w:val="en-US" w:eastAsia="zh-CN"/>
        </w:rPr>
        <w:t>5</w:t>
      </w:r>
      <w:r>
        <w:rPr>
          <w:rFonts w:hint="eastAsia" w:ascii="宋体" w:hAnsi="宋体" w:eastAsia="仿宋_GB2312" w:cs="仿宋_GB2312"/>
          <w:i w:val="0"/>
          <w:iCs w:val="0"/>
          <w:caps w:val="0"/>
          <w:color w:val="333333"/>
          <w:spacing w:val="6"/>
          <w:sz w:val="28"/>
          <w:szCs w:val="28"/>
          <w:highlight w:val="none"/>
          <w:shd w:val="clear" w:fill="FFFFFF"/>
        </w:rPr>
        <w:t>年度建设运营期间按照计划执行，资金的拨付有完整的审批程序和手续，符合项目预算批复或合同规定的用途，未发现截留、挤占、挪用等情况。但在合同签订方面存在一些问题，例如中电信数智科技有限公司</w:t>
      </w:r>
      <w:r>
        <w:rPr>
          <w:rFonts w:hint="eastAsia" w:ascii="宋体" w:hAnsi="宋体" w:cs="仿宋_GB2312"/>
          <w:i w:val="0"/>
          <w:iCs w:val="0"/>
          <w:caps w:val="0"/>
          <w:color w:val="333333"/>
          <w:spacing w:val="6"/>
          <w:sz w:val="28"/>
          <w:szCs w:val="28"/>
          <w:highlight w:val="none"/>
          <w:shd w:val="clear" w:fill="FFFFFF"/>
          <w:lang w:val="en-US" w:eastAsia="zh-CN"/>
        </w:rPr>
        <w:t>于2025年6月3日中标本项目信息化系统采购项目，于2025年8月11日签订合同，超出《中标通知书》日期30天，</w:t>
      </w:r>
      <w:r>
        <w:rPr>
          <w:rFonts w:hint="eastAsia" w:ascii="宋体" w:hAnsi="宋体" w:eastAsia="仿宋_GB2312" w:cs="仿宋_GB2312"/>
          <w:i w:val="0"/>
          <w:iCs w:val="0"/>
          <w:caps w:val="0"/>
          <w:color w:val="333333"/>
          <w:spacing w:val="6"/>
          <w:sz w:val="28"/>
          <w:szCs w:val="28"/>
          <w:highlight w:val="none"/>
          <w:shd w:val="clear" w:fill="FFFFFF"/>
        </w:rPr>
        <w:t>扣</w:t>
      </w:r>
      <w:r>
        <w:rPr>
          <w:rFonts w:hint="eastAsia" w:ascii="宋体" w:hAnsi="宋体" w:cs="仿宋_GB2312"/>
          <w:i w:val="0"/>
          <w:iCs w:val="0"/>
          <w:caps w:val="0"/>
          <w:color w:val="333333"/>
          <w:spacing w:val="6"/>
          <w:sz w:val="28"/>
          <w:szCs w:val="28"/>
          <w:highlight w:val="none"/>
          <w:shd w:val="clear" w:fill="FFFFFF"/>
          <w:lang w:val="en-US" w:eastAsia="zh-CN"/>
        </w:rPr>
        <w:t>1</w:t>
      </w:r>
      <w:r>
        <w:rPr>
          <w:rFonts w:hint="eastAsia" w:ascii="宋体" w:hAnsi="宋体" w:eastAsia="仿宋_GB2312" w:cs="仿宋_GB2312"/>
          <w:i w:val="0"/>
          <w:iCs w:val="0"/>
          <w:caps w:val="0"/>
          <w:color w:val="333333"/>
          <w:spacing w:val="6"/>
          <w:sz w:val="28"/>
          <w:szCs w:val="28"/>
          <w:highlight w:val="none"/>
          <w:shd w:val="clear" w:fill="FFFFFF"/>
        </w:rPr>
        <w:t>分。</w:t>
      </w:r>
    </w:p>
    <w:p w14:paraId="55DF2C48">
      <w:pPr>
        <w:pStyle w:val="5"/>
        <w:pageBreakBefore w:val="0"/>
        <w:wordWrap/>
        <w:overflowPunct/>
        <w:topLinePunct w:val="0"/>
        <w:bidi w:val="0"/>
        <w:ind w:firstLine="560" w:firstLineChars="200"/>
        <w:jc w:val="both"/>
        <w:textAlignment w:val="baseline"/>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2</w:t>
      </w:r>
      <w:r>
        <w:rPr>
          <w:rFonts w:hint="eastAsia" w:ascii="宋体" w:hAnsi="宋体"/>
          <w:sz w:val="28"/>
          <w:szCs w:val="28"/>
          <w:highlight w:val="none"/>
          <w:lang w:eastAsia="zh-CN"/>
        </w:rPr>
        <w:t>）</w:t>
      </w:r>
      <w:r>
        <w:rPr>
          <w:rFonts w:hint="eastAsia" w:ascii="宋体" w:hAnsi="宋体"/>
          <w:sz w:val="28"/>
          <w:szCs w:val="28"/>
          <w:highlight w:val="none"/>
        </w:rPr>
        <w:t>资金到位率</w:t>
      </w:r>
    </w:p>
    <w:p w14:paraId="1392302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spacing w:val="6"/>
          <w:sz w:val="28"/>
          <w:szCs w:val="28"/>
          <w:highlight w:val="none"/>
        </w:rPr>
      </w:pPr>
      <w:r>
        <w:rPr>
          <w:rFonts w:hint="eastAsia" w:ascii="宋体" w:hAnsi="宋体" w:eastAsia="仿宋_GB2312" w:cs="仿宋_GB2312"/>
          <w:i w:val="0"/>
          <w:iCs w:val="0"/>
          <w:caps w:val="0"/>
          <w:color w:val="333333"/>
          <w:spacing w:val="6"/>
          <w:sz w:val="28"/>
          <w:szCs w:val="28"/>
          <w:highlight w:val="none"/>
          <w:shd w:val="clear" w:fill="FFFFFF"/>
        </w:rPr>
        <w:t>指标分值</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rPr>
        <w:t>分，得</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rPr>
        <w:t>分。</w:t>
      </w:r>
      <w:r>
        <w:rPr>
          <w:rFonts w:hint="eastAsia" w:ascii="宋体" w:hAnsi="宋体" w:eastAsia="仿宋_GB2312" w:cs="仿宋_GB2312"/>
          <w:i w:val="0"/>
          <w:iCs w:val="0"/>
          <w:caps w:val="0"/>
          <w:color w:val="333333"/>
          <w:spacing w:val="6"/>
          <w:sz w:val="28"/>
          <w:szCs w:val="28"/>
          <w:highlight w:val="none"/>
          <w:shd w:val="clear" w:fill="FFFFFF"/>
          <w:lang w:val="en-US" w:eastAsia="zh-CN"/>
        </w:rPr>
        <w:t>本项目</w:t>
      </w:r>
      <w:r>
        <w:rPr>
          <w:rFonts w:hint="eastAsia" w:ascii="宋体" w:hAnsi="宋体" w:cs="仿宋_GB2312"/>
          <w:i w:val="0"/>
          <w:iCs w:val="0"/>
          <w:caps w:val="0"/>
          <w:color w:val="333333"/>
          <w:spacing w:val="6"/>
          <w:sz w:val="28"/>
          <w:szCs w:val="28"/>
          <w:highlight w:val="none"/>
          <w:shd w:val="clear" w:fill="FFFFFF"/>
          <w:lang w:val="en-US" w:eastAsia="zh-CN"/>
        </w:rPr>
        <w:t>2025年度</w:t>
      </w:r>
      <w:r>
        <w:rPr>
          <w:rFonts w:hint="eastAsia" w:ascii="宋体" w:hAnsi="宋体" w:eastAsia="仿宋_GB2312" w:cs="仿宋_GB2312"/>
          <w:i w:val="0"/>
          <w:iCs w:val="0"/>
          <w:caps w:val="0"/>
          <w:color w:val="333333"/>
          <w:spacing w:val="6"/>
          <w:sz w:val="28"/>
          <w:szCs w:val="28"/>
          <w:highlight w:val="none"/>
          <w:shd w:val="clear" w:fill="FFFFFF"/>
          <w:lang w:val="en-US" w:eastAsia="zh-CN"/>
        </w:rPr>
        <w:t>预算资金</w:t>
      </w:r>
      <w:r>
        <w:rPr>
          <w:rFonts w:hint="eastAsia" w:ascii="宋体" w:hAnsi="宋体" w:cs="仿宋_GB2312"/>
          <w:i w:val="0"/>
          <w:iCs w:val="0"/>
          <w:caps w:val="0"/>
          <w:color w:val="333333"/>
          <w:spacing w:val="6"/>
          <w:sz w:val="28"/>
          <w:szCs w:val="28"/>
          <w:highlight w:val="none"/>
          <w:shd w:val="clear" w:fill="FFFFFF"/>
          <w:lang w:val="en-US" w:eastAsia="zh-CN"/>
        </w:rPr>
        <w:t>7,750.00</w:t>
      </w:r>
      <w:r>
        <w:rPr>
          <w:rFonts w:hint="eastAsia" w:ascii="宋体" w:hAnsi="宋体" w:eastAsia="仿宋_GB2312" w:cs="仿宋_GB2312"/>
          <w:i w:val="0"/>
          <w:iCs w:val="0"/>
          <w:caps w:val="0"/>
          <w:color w:val="333333"/>
          <w:spacing w:val="6"/>
          <w:sz w:val="28"/>
          <w:szCs w:val="28"/>
          <w:highlight w:val="none"/>
          <w:shd w:val="clear" w:fill="FFFFFF"/>
          <w:lang w:val="en-US" w:eastAsia="zh-CN"/>
        </w:rPr>
        <w:t>万元，</w:t>
      </w:r>
      <w:r>
        <w:rPr>
          <w:rFonts w:hint="eastAsia" w:ascii="宋体" w:hAnsi="宋体" w:cs="仿宋_GB2312"/>
          <w:i w:val="0"/>
          <w:iCs w:val="0"/>
          <w:caps w:val="0"/>
          <w:color w:val="333333"/>
          <w:spacing w:val="6"/>
          <w:sz w:val="28"/>
          <w:szCs w:val="28"/>
          <w:highlight w:val="none"/>
          <w:shd w:val="clear" w:fill="FFFFFF"/>
          <w:lang w:val="en-US" w:eastAsia="zh-CN"/>
        </w:rPr>
        <w:t>实际到位7,740.30</w:t>
      </w:r>
      <w:r>
        <w:rPr>
          <w:rFonts w:hint="eastAsia" w:ascii="宋体" w:hAnsi="宋体" w:eastAsia="仿宋_GB2312" w:cs="仿宋_GB2312"/>
          <w:i w:val="0"/>
          <w:iCs w:val="0"/>
          <w:caps w:val="0"/>
          <w:color w:val="333333"/>
          <w:spacing w:val="6"/>
          <w:sz w:val="28"/>
          <w:szCs w:val="28"/>
          <w:highlight w:val="none"/>
          <w:shd w:val="clear" w:fill="FFFFFF"/>
          <w:lang w:val="en-US" w:eastAsia="zh-CN"/>
        </w:rPr>
        <w:t>万元，其中财政预算资金</w:t>
      </w:r>
      <w:r>
        <w:rPr>
          <w:rFonts w:hint="eastAsia" w:ascii="宋体" w:hAnsi="宋体" w:cs="仿宋_GB2312"/>
          <w:i w:val="0"/>
          <w:iCs w:val="0"/>
          <w:caps w:val="0"/>
          <w:color w:val="333333"/>
          <w:spacing w:val="6"/>
          <w:sz w:val="28"/>
          <w:szCs w:val="28"/>
          <w:highlight w:val="none"/>
          <w:shd w:val="clear" w:fill="FFFFFF"/>
          <w:lang w:val="en-US" w:eastAsia="zh-CN"/>
        </w:rPr>
        <w:t>140.30</w:t>
      </w:r>
      <w:r>
        <w:rPr>
          <w:rFonts w:hint="eastAsia" w:ascii="宋体" w:hAnsi="宋体" w:eastAsia="仿宋_GB2312" w:cs="仿宋_GB2312"/>
          <w:i w:val="0"/>
          <w:iCs w:val="0"/>
          <w:caps w:val="0"/>
          <w:color w:val="333333"/>
          <w:spacing w:val="6"/>
          <w:sz w:val="28"/>
          <w:szCs w:val="28"/>
          <w:highlight w:val="none"/>
          <w:shd w:val="clear" w:fill="FFFFFF"/>
          <w:lang w:val="en-US" w:eastAsia="zh-CN"/>
        </w:rPr>
        <w:t>万元，专项债券资金</w:t>
      </w:r>
      <w:r>
        <w:rPr>
          <w:rFonts w:hint="eastAsia" w:ascii="宋体" w:hAnsi="宋体" w:cs="仿宋_GB2312"/>
          <w:i w:val="0"/>
          <w:iCs w:val="0"/>
          <w:caps w:val="0"/>
          <w:color w:val="333333"/>
          <w:spacing w:val="6"/>
          <w:sz w:val="28"/>
          <w:szCs w:val="28"/>
          <w:highlight w:val="none"/>
          <w:shd w:val="clear" w:fill="FFFFFF"/>
          <w:lang w:val="en-US" w:eastAsia="zh-CN"/>
        </w:rPr>
        <w:t>7,600.00</w:t>
      </w:r>
      <w:r>
        <w:rPr>
          <w:rFonts w:hint="eastAsia" w:ascii="宋体" w:hAnsi="宋体" w:eastAsia="仿宋_GB2312" w:cs="仿宋_GB2312"/>
          <w:i w:val="0"/>
          <w:iCs w:val="0"/>
          <w:caps w:val="0"/>
          <w:color w:val="333333"/>
          <w:spacing w:val="6"/>
          <w:sz w:val="28"/>
          <w:szCs w:val="28"/>
          <w:highlight w:val="none"/>
          <w:shd w:val="clear" w:fill="FFFFFF"/>
          <w:lang w:val="en-US" w:eastAsia="zh-CN"/>
        </w:rPr>
        <w:t>万元，资金到位率</w:t>
      </w:r>
      <w:r>
        <w:rPr>
          <w:rFonts w:hint="eastAsia" w:ascii="宋体" w:hAnsi="宋体" w:cs="仿宋_GB2312"/>
          <w:i w:val="0"/>
          <w:iCs w:val="0"/>
          <w:caps w:val="0"/>
          <w:color w:val="333333"/>
          <w:spacing w:val="6"/>
          <w:sz w:val="28"/>
          <w:szCs w:val="28"/>
          <w:highlight w:val="none"/>
          <w:shd w:val="clear" w:fill="FFFFFF"/>
          <w:lang w:val="en-US" w:eastAsia="zh-CN"/>
        </w:rPr>
        <w:t>约</w:t>
      </w:r>
      <w:r>
        <w:rPr>
          <w:rFonts w:hint="eastAsia" w:ascii="宋体" w:hAnsi="宋体" w:eastAsia="仿宋_GB2312" w:cs="仿宋_GB2312"/>
          <w:i w:val="0"/>
          <w:iCs w:val="0"/>
          <w:caps w:val="0"/>
          <w:color w:val="333333"/>
          <w:spacing w:val="6"/>
          <w:sz w:val="28"/>
          <w:szCs w:val="28"/>
          <w:highlight w:val="none"/>
          <w:shd w:val="clear" w:fill="FFFFFF"/>
          <w:lang w:val="en-US" w:eastAsia="zh-CN"/>
        </w:rPr>
        <w:t>为</w:t>
      </w:r>
      <w:r>
        <w:rPr>
          <w:rFonts w:hint="eastAsia" w:ascii="宋体" w:hAnsi="宋体" w:cs="仿宋_GB2312"/>
          <w:i w:val="0"/>
          <w:iCs w:val="0"/>
          <w:caps w:val="0"/>
          <w:color w:val="333333"/>
          <w:spacing w:val="6"/>
          <w:sz w:val="28"/>
          <w:szCs w:val="28"/>
          <w:highlight w:val="none"/>
          <w:shd w:val="clear" w:fill="FFFFFF"/>
          <w:lang w:val="en-US" w:eastAsia="zh-CN"/>
        </w:rPr>
        <w:t>100</w:t>
      </w:r>
      <w:r>
        <w:rPr>
          <w:rFonts w:hint="eastAsia" w:ascii="宋体" w:hAnsi="宋体" w:eastAsia="仿宋_GB2312" w:cs="仿宋_GB2312"/>
          <w:i w:val="0"/>
          <w:iCs w:val="0"/>
          <w:caps w:val="0"/>
          <w:color w:val="333333"/>
          <w:spacing w:val="6"/>
          <w:sz w:val="28"/>
          <w:szCs w:val="28"/>
          <w:highlight w:val="none"/>
          <w:shd w:val="clear" w:fill="FFFFFF"/>
          <w:lang w:val="en-US" w:eastAsia="zh-CN"/>
        </w:rPr>
        <w:t>%。</w:t>
      </w:r>
    </w:p>
    <w:p w14:paraId="3CA29551">
      <w:pPr>
        <w:pStyle w:val="5"/>
        <w:pageBreakBefore w:val="0"/>
        <w:wordWrap/>
        <w:overflowPunct/>
        <w:topLinePunct w:val="0"/>
        <w:bidi w:val="0"/>
        <w:ind w:firstLine="560" w:firstLineChars="200"/>
        <w:jc w:val="both"/>
        <w:textAlignment w:val="baseline"/>
        <w:rPr>
          <w:rFonts w:hint="eastAsia" w:ascii="宋体" w:hAnsi="宋体"/>
          <w:sz w:val="28"/>
          <w:szCs w:val="28"/>
          <w:highlight w:val="none"/>
        </w:rPr>
      </w:pPr>
      <w:r>
        <w:rPr>
          <w:rFonts w:hint="eastAsia" w:ascii="宋体" w:hAnsi="宋体"/>
          <w:sz w:val="28"/>
          <w:szCs w:val="28"/>
          <w:highlight w:val="none"/>
        </w:rPr>
        <w:t>（</w:t>
      </w:r>
      <w:r>
        <w:rPr>
          <w:rFonts w:hint="eastAsia" w:ascii="宋体" w:hAnsi="宋体"/>
          <w:sz w:val="28"/>
          <w:szCs w:val="28"/>
          <w:highlight w:val="none"/>
          <w:lang w:val="en-US" w:eastAsia="zh-CN"/>
        </w:rPr>
        <w:t>3</w:t>
      </w:r>
      <w:r>
        <w:rPr>
          <w:rFonts w:hint="eastAsia" w:ascii="宋体" w:hAnsi="宋体"/>
          <w:sz w:val="28"/>
          <w:szCs w:val="28"/>
          <w:highlight w:val="none"/>
        </w:rPr>
        <w:t>）</w:t>
      </w:r>
      <w:r>
        <w:rPr>
          <w:rFonts w:hint="eastAsia" w:ascii="宋体" w:hAnsi="宋体"/>
          <w:sz w:val="28"/>
          <w:szCs w:val="28"/>
          <w:highlight w:val="none"/>
          <w:lang w:val="en-US" w:eastAsia="zh-CN"/>
        </w:rPr>
        <w:t>预算</w:t>
      </w:r>
      <w:r>
        <w:rPr>
          <w:rFonts w:hint="eastAsia" w:ascii="宋体" w:hAnsi="宋体"/>
          <w:sz w:val="28"/>
          <w:szCs w:val="28"/>
          <w:highlight w:val="none"/>
        </w:rPr>
        <w:t>执行率</w:t>
      </w:r>
    </w:p>
    <w:p w14:paraId="78F9378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spacing w:val="6"/>
          <w:sz w:val="28"/>
          <w:szCs w:val="28"/>
          <w:highlight w:val="none"/>
        </w:rPr>
      </w:pPr>
      <w:r>
        <w:rPr>
          <w:rFonts w:hint="eastAsia" w:ascii="宋体" w:hAnsi="宋体" w:eastAsia="仿宋_GB2312" w:cs="仿宋_GB2312"/>
          <w:i w:val="0"/>
          <w:iCs w:val="0"/>
          <w:caps w:val="0"/>
          <w:color w:val="333333"/>
          <w:spacing w:val="6"/>
          <w:sz w:val="28"/>
          <w:szCs w:val="28"/>
          <w:highlight w:val="none"/>
          <w:shd w:val="clear" w:fill="FFFFFF"/>
        </w:rPr>
        <w:t>指标分值</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rPr>
        <w:t>分，得</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rPr>
        <w:t>分。</w:t>
      </w:r>
      <w:r>
        <w:rPr>
          <w:rFonts w:hint="eastAsia" w:ascii="宋体" w:hAnsi="宋体" w:eastAsia="仿宋_GB2312" w:cs="仿宋_GB2312"/>
          <w:i w:val="0"/>
          <w:iCs w:val="0"/>
          <w:caps w:val="0"/>
          <w:color w:val="333333"/>
          <w:spacing w:val="6"/>
          <w:sz w:val="28"/>
          <w:szCs w:val="28"/>
          <w:highlight w:val="none"/>
          <w:shd w:val="clear" w:fill="FFFFFF"/>
          <w:lang w:val="en-US" w:eastAsia="zh-CN"/>
        </w:rPr>
        <w:t>本项目</w:t>
      </w:r>
      <w:r>
        <w:rPr>
          <w:rFonts w:hint="eastAsia" w:ascii="宋体" w:hAnsi="宋体" w:cs="仿宋_GB2312"/>
          <w:i w:val="0"/>
          <w:iCs w:val="0"/>
          <w:caps w:val="0"/>
          <w:color w:val="333333"/>
          <w:spacing w:val="6"/>
          <w:sz w:val="28"/>
          <w:szCs w:val="28"/>
          <w:highlight w:val="none"/>
          <w:shd w:val="clear" w:fill="FFFFFF"/>
          <w:lang w:val="en-US" w:eastAsia="zh-CN"/>
        </w:rPr>
        <w:t>2025年度预算资金共计到位</w:t>
      </w:r>
      <w:r>
        <w:rPr>
          <w:rFonts w:hint="eastAsia" w:ascii="宋体" w:hAnsi="宋体" w:cs="仿宋_GB2312"/>
          <w:i w:val="0"/>
          <w:iCs w:val="0"/>
          <w:caps w:val="0"/>
          <w:color w:val="333333"/>
          <w:spacing w:val="6"/>
          <w:sz w:val="28"/>
          <w:szCs w:val="28"/>
          <w:shd w:val="clear" w:fill="FFFFFF"/>
          <w:lang w:val="en-US" w:eastAsia="zh-CN"/>
        </w:rPr>
        <w:t>7,740.30</w:t>
      </w:r>
      <w:r>
        <w:rPr>
          <w:rFonts w:hint="eastAsia" w:ascii="宋体" w:hAnsi="宋体" w:eastAsia="仿宋_GB2312" w:cs="仿宋_GB2312"/>
          <w:i w:val="0"/>
          <w:iCs w:val="0"/>
          <w:caps w:val="0"/>
          <w:color w:val="333333"/>
          <w:spacing w:val="6"/>
          <w:sz w:val="28"/>
          <w:szCs w:val="28"/>
          <w:shd w:val="clear" w:fill="FFFFFF"/>
          <w:lang w:val="en-US" w:eastAsia="zh-CN"/>
        </w:rPr>
        <w:t>万元</w:t>
      </w:r>
      <w:r>
        <w:rPr>
          <w:rFonts w:hint="eastAsia" w:ascii="宋体" w:hAnsi="宋体" w:cs="仿宋_GB2312"/>
          <w:i w:val="0"/>
          <w:iCs w:val="0"/>
          <w:caps w:val="0"/>
          <w:color w:val="333333"/>
          <w:spacing w:val="6"/>
          <w:sz w:val="28"/>
          <w:szCs w:val="28"/>
          <w:highlight w:val="none"/>
          <w:shd w:val="clear" w:fill="FFFFFF"/>
          <w:lang w:val="en-US" w:eastAsia="zh-CN"/>
        </w:rPr>
        <w:t>，实际使用资金共计</w:t>
      </w:r>
      <w:r>
        <w:rPr>
          <w:rFonts w:hint="eastAsia" w:ascii="宋体" w:hAnsi="宋体" w:cs="仿宋_GB2312"/>
          <w:i w:val="0"/>
          <w:iCs w:val="0"/>
          <w:caps w:val="0"/>
          <w:color w:val="333333"/>
          <w:spacing w:val="6"/>
          <w:sz w:val="28"/>
          <w:szCs w:val="28"/>
          <w:shd w:val="clear" w:fill="FFFFFF"/>
          <w:lang w:val="en-US" w:eastAsia="zh-CN"/>
        </w:rPr>
        <w:t>7,740.30</w:t>
      </w:r>
      <w:r>
        <w:rPr>
          <w:rFonts w:hint="eastAsia" w:ascii="宋体" w:hAnsi="宋体" w:eastAsia="仿宋_GB2312" w:cs="仿宋_GB2312"/>
          <w:i w:val="0"/>
          <w:iCs w:val="0"/>
          <w:caps w:val="0"/>
          <w:color w:val="333333"/>
          <w:spacing w:val="6"/>
          <w:sz w:val="28"/>
          <w:szCs w:val="28"/>
          <w:shd w:val="clear" w:fill="FFFFFF"/>
          <w:lang w:val="en-US" w:eastAsia="zh-CN"/>
        </w:rPr>
        <w:t>万元</w:t>
      </w:r>
      <w:r>
        <w:rPr>
          <w:rFonts w:hint="eastAsia" w:ascii="宋体" w:hAnsi="宋体" w:cs="仿宋_GB2312"/>
          <w:i w:val="0"/>
          <w:iCs w:val="0"/>
          <w:caps w:val="0"/>
          <w:color w:val="333333"/>
          <w:spacing w:val="6"/>
          <w:sz w:val="28"/>
          <w:szCs w:val="28"/>
          <w:highlight w:val="none"/>
          <w:shd w:val="clear" w:fill="FFFFFF"/>
          <w:lang w:val="en-US" w:eastAsia="zh-CN"/>
        </w:rPr>
        <w:t>，其中财政预算资金使用</w:t>
      </w:r>
      <w:r>
        <w:rPr>
          <w:rFonts w:hint="eastAsia" w:ascii="宋体" w:hAnsi="宋体" w:cs="仿宋_GB2312"/>
          <w:i w:val="0"/>
          <w:iCs w:val="0"/>
          <w:caps w:val="0"/>
          <w:color w:val="333333"/>
          <w:spacing w:val="6"/>
          <w:sz w:val="28"/>
          <w:szCs w:val="28"/>
          <w:shd w:val="clear" w:fill="FFFFFF"/>
          <w:lang w:val="en-US" w:eastAsia="zh-CN"/>
        </w:rPr>
        <w:t>140.30</w:t>
      </w:r>
      <w:r>
        <w:rPr>
          <w:rFonts w:hint="eastAsia" w:ascii="宋体" w:hAnsi="宋体" w:eastAsia="仿宋_GB2312" w:cs="仿宋_GB2312"/>
          <w:i w:val="0"/>
          <w:iCs w:val="0"/>
          <w:caps w:val="0"/>
          <w:color w:val="333333"/>
          <w:spacing w:val="6"/>
          <w:sz w:val="28"/>
          <w:szCs w:val="28"/>
          <w:shd w:val="clear" w:fill="FFFFFF"/>
          <w:lang w:val="en-US" w:eastAsia="zh-CN"/>
        </w:rPr>
        <w:t>万元，专项债券资金</w:t>
      </w:r>
      <w:r>
        <w:rPr>
          <w:rFonts w:hint="eastAsia" w:ascii="宋体" w:hAnsi="宋体" w:cs="仿宋_GB2312"/>
          <w:i w:val="0"/>
          <w:iCs w:val="0"/>
          <w:caps w:val="0"/>
          <w:color w:val="333333"/>
          <w:spacing w:val="6"/>
          <w:sz w:val="28"/>
          <w:szCs w:val="28"/>
          <w:shd w:val="clear" w:fill="FFFFFF"/>
          <w:lang w:val="en-US" w:eastAsia="zh-CN"/>
        </w:rPr>
        <w:t>7,600.00</w:t>
      </w:r>
      <w:r>
        <w:rPr>
          <w:rFonts w:hint="eastAsia" w:ascii="宋体" w:hAnsi="宋体" w:eastAsia="仿宋_GB2312" w:cs="仿宋_GB2312"/>
          <w:i w:val="0"/>
          <w:iCs w:val="0"/>
          <w:caps w:val="0"/>
          <w:color w:val="333333"/>
          <w:spacing w:val="6"/>
          <w:sz w:val="28"/>
          <w:szCs w:val="28"/>
          <w:shd w:val="clear" w:fill="FFFFFF"/>
          <w:lang w:val="en-US" w:eastAsia="zh-CN"/>
        </w:rPr>
        <w:t>万元</w:t>
      </w:r>
      <w:r>
        <w:rPr>
          <w:rFonts w:hint="eastAsia" w:ascii="宋体" w:hAnsi="宋体" w:eastAsia="仿宋_GB2312" w:cs="仿宋_GB2312"/>
          <w:i w:val="0"/>
          <w:iCs w:val="0"/>
          <w:caps w:val="0"/>
          <w:color w:val="333333"/>
          <w:spacing w:val="6"/>
          <w:sz w:val="28"/>
          <w:szCs w:val="28"/>
          <w:highlight w:val="none"/>
          <w:shd w:val="clear" w:fill="FFFFFF"/>
        </w:rPr>
        <w:t>，</w:t>
      </w:r>
      <w:r>
        <w:rPr>
          <w:rFonts w:hint="eastAsia" w:ascii="宋体" w:hAnsi="宋体" w:cs="仿宋_GB2312"/>
          <w:i w:val="0"/>
          <w:iCs w:val="0"/>
          <w:caps w:val="0"/>
          <w:color w:val="333333"/>
          <w:spacing w:val="6"/>
          <w:sz w:val="28"/>
          <w:szCs w:val="28"/>
          <w:highlight w:val="none"/>
          <w:shd w:val="clear" w:fill="FFFFFF"/>
          <w:lang w:val="en-US" w:eastAsia="zh-CN"/>
        </w:rPr>
        <w:t>预算执行</w:t>
      </w:r>
      <w:r>
        <w:rPr>
          <w:rFonts w:hint="eastAsia" w:ascii="宋体" w:hAnsi="宋体" w:eastAsia="仿宋_GB2312" w:cs="仿宋_GB2312"/>
          <w:i w:val="0"/>
          <w:iCs w:val="0"/>
          <w:caps w:val="0"/>
          <w:color w:val="333333"/>
          <w:spacing w:val="6"/>
          <w:sz w:val="28"/>
          <w:szCs w:val="28"/>
          <w:highlight w:val="none"/>
          <w:shd w:val="clear" w:fill="FFFFFF"/>
        </w:rPr>
        <w:t>率为</w:t>
      </w:r>
      <w:r>
        <w:rPr>
          <w:rFonts w:hint="eastAsia" w:ascii="宋体" w:hAnsi="宋体" w:cs="仿宋_GB2312"/>
          <w:i w:val="0"/>
          <w:iCs w:val="0"/>
          <w:caps w:val="0"/>
          <w:color w:val="333333"/>
          <w:spacing w:val="6"/>
          <w:sz w:val="28"/>
          <w:szCs w:val="28"/>
          <w:highlight w:val="none"/>
          <w:shd w:val="clear" w:fill="FFFFFF"/>
          <w:lang w:val="en-US" w:eastAsia="zh-CN"/>
        </w:rPr>
        <w:t>100</w:t>
      </w:r>
      <w:r>
        <w:rPr>
          <w:rFonts w:hint="eastAsia" w:ascii="宋体" w:hAnsi="宋体" w:eastAsia="仿宋_GB2312" w:cs="仿宋_GB2312"/>
          <w:i w:val="0"/>
          <w:iCs w:val="0"/>
          <w:caps w:val="0"/>
          <w:color w:val="333333"/>
          <w:spacing w:val="6"/>
          <w:sz w:val="28"/>
          <w:szCs w:val="28"/>
          <w:highlight w:val="none"/>
          <w:shd w:val="clear" w:fill="FFFFFF"/>
        </w:rPr>
        <w:t>%。</w:t>
      </w:r>
    </w:p>
    <w:p w14:paraId="674E0D9F">
      <w:pPr>
        <w:pStyle w:val="3"/>
        <w:pageBreakBefore w:val="0"/>
        <w:wordWrap/>
        <w:overflowPunct/>
        <w:topLinePunct w:val="0"/>
        <w:bidi w:val="0"/>
        <w:ind w:firstLine="562" w:firstLineChars="200"/>
        <w:jc w:val="both"/>
        <w:textAlignment w:val="baseline"/>
        <w:rPr>
          <w:rFonts w:hint="eastAsia" w:ascii="宋体" w:hAnsi="宋体"/>
          <w:sz w:val="28"/>
          <w:szCs w:val="28"/>
        </w:rPr>
      </w:pPr>
      <w:bookmarkStart w:id="92" w:name="_Toc26436"/>
      <w:r>
        <w:rPr>
          <w:rFonts w:hint="eastAsia" w:ascii="宋体" w:hAnsi="宋体"/>
          <w:sz w:val="28"/>
          <w:szCs w:val="28"/>
        </w:rPr>
        <w:t>（三）产出情况分析</w:t>
      </w:r>
      <w:bookmarkEnd w:id="92"/>
    </w:p>
    <w:p w14:paraId="0B3BD85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rPr>
      </w:pPr>
      <w:r>
        <w:rPr>
          <w:rFonts w:hint="eastAsia" w:ascii="宋体" w:hAnsi="宋体" w:eastAsia="仿宋_GB2312" w:cs="仿宋_GB2312"/>
          <w:i w:val="0"/>
          <w:iCs w:val="0"/>
          <w:caps w:val="0"/>
          <w:color w:val="333333"/>
          <w:spacing w:val="6"/>
          <w:sz w:val="28"/>
          <w:szCs w:val="28"/>
          <w:shd w:val="clear" w:fill="FFFFFF"/>
        </w:rPr>
        <w:t>“产出”指标涉及二级指标4个，三级指标</w:t>
      </w:r>
      <w:r>
        <w:rPr>
          <w:rFonts w:hint="eastAsia" w:ascii="宋体" w:hAnsi="宋体" w:eastAsia="仿宋_GB2312"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个，总分值</w:t>
      </w:r>
      <w:r>
        <w:rPr>
          <w:rFonts w:hint="eastAsia" w:ascii="宋体" w:hAnsi="宋体" w:eastAsia="仿宋_GB2312" w:cs="仿宋_GB2312"/>
          <w:i w:val="0"/>
          <w:iCs w:val="0"/>
          <w:caps w:val="0"/>
          <w:color w:val="333333"/>
          <w:spacing w:val="6"/>
          <w:sz w:val="28"/>
          <w:szCs w:val="28"/>
          <w:shd w:val="clear" w:fill="FFFFFF"/>
          <w:lang w:val="en-US" w:eastAsia="zh-CN"/>
        </w:rPr>
        <w:t>3</w:t>
      </w:r>
      <w:r>
        <w:rPr>
          <w:rFonts w:hint="eastAsia" w:ascii="宋体" w:hAnsi="宋体" w:cs="仿宋_GB2312"/>
          <w:i w:val="0"/>
          <w:iCs w:val="0"/>
          <w:caps w:val="0"/>
          <w:color w:val="333333"/>
          <w:spacing w:val="6"/>
          <w:sz w:val="28"/>
          <w:szCs w:val="28"/>
          <w:shd w:val="clear" w:fill="FFFFFF"/>
          <w:lang w:val="en-US" w:eastAsia="zh-CN"/>
        </w:rPr>
        <w:t>5</w:t>
      </w:r>
      <w:r>
        <w:rPr>
          <w:rFonts w:hint="eastAsia" w:ascii="宋体" w:hAnsi="宋体" w:eastAsia="仿宋_GB2312" w:cs="仿宋_GB2312"/>
          <w:i w:val="0"/>
          <w:iCs w:val="0"/>
          <w:caps w:val="0"/>
          <w:color w:val="333333"/>
          <w:spacing w:val="6"/>
          <w:sz w:val="28"/>
          <w:szCs w:val="28"/>
          <w:shd w:val="clear" w:fill="FFFFFF"/>
        </w:rPr>
        <w:t>分</w:t>
      </w:r>
      <w:r>
        <w:rPr>
          <w:rFonts w:hint="eastAsia" w:ascii="宋体" w:hAnsi="宋体" w:eastAsia="仿宋_GB2312" w:cs="仿宋_GB2312"/>
          <w:i w:val="0"/>
          <w:iCs w:val="0"/>
          <w:caps w:val="0"/>
          <w:color w:val="333333"/>
          <w:spacing w:val="6"/>
          <w:sz w:val="28"/>
          <w:szCs w:val="28"/>
          <w:highlight w:val="none"/>
          <w:shd w:val="clear" w:fill="FFFFFF"/>
        </w:rPr>
        <w:t>，得分</w:t>
      </w:r>
      <w:r>
        <w:rPr>
          <w:rFonts w:hint="eastAsia" w:ascii="宋体" w:hAnsi="宋体" w:cs="仿宋_GB2312"/>
          <w:i w:val="0"/>
          <w:iCs w:val="0"/>
          <w:caps w:val="0"/>
          <w:color w:val="333333"/>
          <w:spacing w:val="6"/>
          <w:sz w:val="28"/>
          <w:szCs w:val="28"/>
          <w:highlight w:val="none"/>
          <w:shd w:val="clear" w:fill="FFFFFF"/>
          <w:lang w:val="en-US" w:eastAsia="zh-CN"/>
        </w:rPr>
        <w:t>28</w:t>
      </w:r>
      <w:r>
        <w:rPr>
          <w:rFonts w:hint="eastAsia" w:ascii="宋体" w:hAnsi="宋体" w:eastAsia="仿宋_GB2312" w:cs="仿宋_GB2312"/>
          <w:i w:val="0"/>
          <w:iCs w:val="0"/>
          <w:caps w:val="0"/>
          <w:color w:val="333333"/>
          <w:spacing w:val="6"/>
          <w:sz w:val="28"/>
          <w:szCs w:val="28"/>
          <w:highlight w:val="none"/>
          <w:shd w:val="clear" w:fill="FFFFFF"/>
        </w:rPr>
        <w:t>分，得分率为</w:t>
      </w:r>
      <w:r>
        <w:rPr>
          <w:rFonts w:hint="eastAsia" w:ascii="宋体" w:hAnsi="宋体" w:cs="仿宋_GB2312"/>
          <w:i w:val="0"/>
          <w:iCs w:val="0"/>
          <w:caps w:val="0"/>
          <w:color w:val="333333"/>
          <w:spacing w:val="6"/>
          <w:sz w:val="28"/>
          <w:szCs w:val="28"/>
          <w:highlight w:val="none"/>
          <w:shd w:val="clear" w:fill="FFFFFF"/>
          <w:lang w:val="en-US" w:eastAsia="zh-CN"/>
        </w:rPr>
        <w:t>80.00</w:t>
      </w:r>
      <w:r>
        <w:rPr>
          <w:rFonts w:hint="eastAsia" w:ascii="宋体" w:hAnsi="宋体" w:eastAsia="仿宋_GB2312" w:cs="仿宋_GB2312"/>
          <w:i w:val="0"/>
          <w:iCs w:val="0"/>
          <w:caps w:val="0"/>
          <w:color w:val="333333"/>
          <w:spacing w:val="6"/>
          <w:sz w:val="28"/>
          <w:szCs w:val="28"/>
          <w:highlight w:val="none"/>
          <w:shd w:val="clear" w:fill="FFFFFF"/>
        </w:rPr>
        <w:t>%。</w:t>
      </w:r>
      <w:bookmarkStart w:id="93" w:name="_Toc13530"/>
      <w:bookmarkStart w:id="94" w:name="_Toc30057"/>
    </w:p>
    <w:p w14:paraId="7C02481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lang w:eastAsia="zh-CN"/>
        </w:rPr>
      </w:pPr>
      <w:r>
        <w:rPr>
          <w:rFonts w:hint="eastAsia" w:ascii="宋体" w:hAnsi="宋体" w:eastAsia="仿宋_GB2312" w:cs="仿宋_GB2312"/>
          <w:i w:val="0"/>
          <w:iCs w:val="0"/>
          <w:caps w:val="0"/>
          <w:color w:val="333333"/>
          <w:spacing w:val="6"/>
          <w:sz w:val="28"/>
          <w:szCs w:val="28"/>
          <w:shd w:val="clear" w:fill="FFFFFF"/>
        </w:rPr>
        <w:t>1.产出数量</w:t>
      </w:r>
      <w:r>
        <w:rPr>
          <w:rFonts w:hint="eastAsia" w:ascii="宋体" w:hAnsi="宋体" w:eastAsia="仿宋_GB2312" w:cs="仿宋_GB2312"/>
          <w:i w:val="0"/>
          <w:iCs w:val="0"/>
          <w:caps w:val="0"/>
          <w:color w:val="333333"/>
          <w:spacing w:val="6"/>
          <w:sz w:val="28"/>
          <w:szCs w:val="28"/>
          <w:shd w:val="clear" w:fill="FFFFFF"/>
          <w:lang w:eastAsia="zh-CN"/>
        </w:rPr>
        <w:t>（</w:t>
      </w:r>
      <w:r>
        <w:rPr>
          <w:rFonts w:hint="eastAsia" w:ascii="宋体" w:hAnsi="宋体" w:eastAsia="仿宋_GB2312" w:cs="仿宋_GB2312"/>
          <w:i w:val="0"/>
          <w:iCs w:val="0"/>
          <w:caps w:val="0"/>
          <w:color w:val="333333"/>
          <w:spacing w:val="6"/>
          <w:sz w:val="28"/>
          <w:szCs w:val="28"/>
          <w:shd w:val="clear" w:fill="FFFFFF"/>
          <w:lang w:val="en-US" w:eastAsia="zh-CN"/>
        </w:rPr>
        <w:t>满分9分，得分</w:t>
      </w:r>
      <w:r>
        <w:rPr>
          <w:rFonts w:hint="eastAsia" w:ascii="宋体" w:hAnsi="宋体" w:cs="仿宋_GB2312"/>
          <w:i w:val="0"/>
          <w:iCs w:val="0"/>
          <w:caps w:val="0"/>
          <w:color w:val="333333"/>
          <w:spacing w:val="6"/>
          <w:sz w:val="28"/>
          <w:szCs w:val="28"/>
          <w:shd w:val="clear" w:fill="FFFFFF"/>
          <w:lang w:val="en-US" w:eastAsia="zh-CN"/>
        </w:rPr>
        <w:t>8</w:t>
      </w:r>
      <w:r>
        <w:rPr>
          <w:rFonts w:hint="eastAsia" w:ascii="宋体" w:hAnsi="宋体" w:eastAsia="仿宋_GB2312" w:cs="仿宋_GB2312"/>
          <w:i w:val="0"/>
          <w:iCs w:val="0"/>
          <w:caps w:val="0"/>
          <w:color w:val="333333"/>
          <w:spacing w:val="6"/>
          <w:sz w:val="28"/>
          <w:szCs w:val="28"/>
          <w:shd w:val="clear" w:fill="FFFFFF"/>
          <w:lang w:val="en-US" w:eastAsia="zh-CN"/>
        </w:rPr>
        <w:t>分</w:t>
      </w:r>
      <w:r>
        <w:rPr>
          <w:rFonts w:hint="eastAsia" w:ascii="宋体" w:hAnsi="宋体" w:eastAsia="仿宋_GB2312" w:cs="仿宋_GB2312"/>
          <w:i w:val="0"/>
          <w:iCs w:val="0"/>
          <w:caps w:val="0"/>
          <w:color w:val="333333"/>
          <w:spacing w:val="6"/>
          <w:sz w:val="28"/>
          <w:szCs w:val="28"/>
          <w:shd w:val="clear" w:fill="FFFFFF"/>
          <w:lang w:eastAsia="zh-CN"/>
        </w:rPr>
        <w:t>）</w:t>
      </w:r>
      <w:bookmarkEnd w:id="93"/>
      <w:bookmarkEnd w:id="94"/>
    </w:p>
    <w:p w14:paraId="135E3B3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lang w:val="en-US" w:eastAsia="zh-CN"/>
        </w:rPr>
      </w:pPr>
      <w:r>
        <w:rPr>
          <w:rFonts w:hint="eastAsia" w:ascii="宋体" w:hAnsi="宋体" w:eastAsia="仿宋_GB2312" w:cs="仿宋_GB2312"/>
          <w:i w:val="0"/>
          <w:iCs w:val="0"/>
          <w:caps w:val="0"/>
          <w:color w:val="333333"/>
          <w:spacing w:val="6"/>
          <w:sz w:val="28"/>
          <w:szCs w:val="28"/>
          <w:shd w:val="clear" w:fill="FFFFFF"/>
          <w:lang w:val="en-US" w:eastAsia="zh-CN"/>
        </w:rPr>
        <w:t>工程完工度</w:t>
      </w:r>
    </w:p>
    <w:p w14:paraId="4AF9732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宋体" w:hAnsi="宋体" w:eastAsia="仿宋_GB2312" w:cs="仿宋_GB2312"/>
          <w:i w:val="0"/>
          <w:iCs w:val="0"/>
          <w:caps w:val="0"/>
          <w:color w:val="333333"/>
          <w:spacing w:val="6"/>
          <w:sz w:val="28"/>
          <w:szCs w:val="28"/>
          <w:shd w:val="clear" w:fill="FFFFFF"/>
          <w:lang w:val="en-US" w:eastAsia="zh-CN"/>
        </w:rPr>
      </w:pPr>
      <w:r>
        <w:rPr>
          <w:rFonts w:hint="eastAsia" w:ascii="宋体" w:hAnsi="宋体" w:eastAsia="仿宋_GB2312" w:cs="仿宋_GB2312"/>
          <w:i w:val="0"/>
          <w:iCs w:val="0"/>
          <w:caps w:val="0"/>
          <w:color w:val="333333"/>
          <w:spacing w:val="6"/>
          <w:sz w:val="28"/>
          <w:szCs w:val="28"/>
          <w:shd w:val="clear" w:fill="FFFFFF"/>
        </w:rPr>
        <w:t>指标分值</w:t>
      </w:r>
      <w:r>
        <w:rPr>
          <w:rFonts w:hint="eastAsia" w:ascii="宋体" w:hAnsi="宋体" w:eastAsia="仿宋_GB2312" w:cs="仿宋_GB2312"/>
          <w:i w:val="0"/>
          <w:iCs w:val="0"/>
          <w:caps w:val="0"/>
          <w:color w:val="333333"/>
          <w:spacing w:val="6"/>
          <w:sz w:val="28"/>
          <w:szCs w:val="28"/>
          <w:shd w:val="clear" w:fill="FFFFFF"/>
          <w:lang w:val="en-US" w:eastAsia="zh-CN"/>
        </w:rPr>
        <w:t>9</w:t>
      </w:r>
      <w:r>
        <w:rPr>
          <w:rFonts w:hint="eastAsia" w:ascii="宋体" w:hAnsi="宋体" w:eastAsia="仿宋_GB2312" w:cs="仿宋_GB2312"/>
          <w:i w:val="0"/>
          <w:iCs w:val="0"/>
          <w:caps w:val="0"/>
          <w:color w:val="333333"/>
          <w:spacing w:val="6"/>
          <w:sz w:val="28"/>
          <w:szCs w:val="28"/>
          <w:shd w:val="clear" w:fill="FFFFFF"/>
        </w:rPr>
        <w:t>分，得</w:t>
      </w:r>
      <w:r>
        <w:rPr>
          <w:rFonts w:hint="eastAsia" w:ascii="宋体" w:hAnsi="宋体" w:cs="仿宋_GB2312"/>
          <w:i w:val="0"/>
          <w:iCs w:val="0"/>
          <w:caps w:val="0"/>
          <w:color w:val="333333"/>
          <w:spacing w:val="6"/>
          <w:sz w:val="28"/>
          <w:szCs w:val="28"/>
          <w:shd w:val="clear" w:fill="FFFFFF"/>
          <w:lang w:val="en-US" w:eastAsia="zh-CN"/>
        </w:rPr>
        <w:t>8</w:t>
      </w:r>
      <w:r>
        <w:rPr>
          <w:rFonts w:hint="eastAsia" w:ascii="宋体" w:hAnsi="宋体" w:eastAsia="仿宋_GB2312" w:cs="仿宋_GB2312"/>
          <w:i w:val="0"/>
          <w:iCs w:val="0"/>
          <w:caps w:val="0"/>
          <w:color w:val="333333"/>
          <w:spacing w:val="6"/>
          <w:sz w:val="28"/>
          <w:szCs w:val="28"/>
          <w:shd w:val="clear" w:fill="FFFFFF"/>
        </w:rPr>
        <w:t>分</w:t>
      </w:r>
      <w:r>
        <w:rPr>
          <w:rFonts w:hint="eastAsia" w:ascii="宋体" w:hAnsi="宋体" w:cs="仿宋_GB2312"/>
          <w:i w:val="0"/>
          <w:iCs w:val="0"/>
          <w:caps w:val="0"/>
          <w:color w:val="333333"/>
          <w:spacing w:val="6"/>
          <w:sz w:val="28"/>
          <w:szCs w:val="28"/>
          <w:shd w:val="clear" w:fill="FFFFFF"/>
          <w:lang w:eastAsia="zh-CN"/>
        </w:rPr>
        <w:t>，</w:t>
      </w:r>
      <w:r>
        <w:rPr>
          <w:rFonts w:hint="eastAsia" w:ascii="宋体" w:hAnsi="宋体" w:cs="仿宋_GB2312"/>
          <w:i w:val="0"/>
          <w:iCs w:val="0"/>
          <w:caps w:val="0"/>
          <w:color w:val="333333"/>
          <w:spacing w:val="6"/>
          <w:sz w:val="28"/>
          <w:szCs w:val="28"/>
          <w:shd w:val="clear" w:fill="FFFFFF"/>
          <w:lang w:val="en-US" w:eastAsia="zh-CN"/>
        </w:rPr>
        <w:t>扣1分</w:t>
      </w:r>
      <w:r>
        <w:rPr>
          <w:rFonts w:hint="eastAsia" w:ascii="宋体" w:hAnsi="宋体" w:eastAsia="仿宋_GB2312" w:cs="仿宋_GB2312"/>
          <w:i w:val="0"/>
          <w:iCs w:val="0"/>
          <w:caps w:val="0"/>
          <w:color w:val="333333"/>
          <w:spacing w:val="6"/>
          <w:sz w:val="28"/>
          <w:szCs w:val="28"/>
          <w:shd w:val="clear" w:fill="FFFFFF"/>
        </w:rPr>
        <w:t>。</w:t>
      </w:r>
      <w:r>
        <w:rPr>
          <w:rFonts w:hint="eastAsia" w:ascii="宋体" w:hAnsi="宋体" w:eastAsia="仿宋_GB2312" w:cs="仿宋_GB2312"/>
          <w:i w:val="0"/>
          <w:iCs w:val="0"/>
          <w:caps w:val="0"/>
          <w:color w:val="333333"/>
          <w:spacing w:val="6"/>
          <w:sz w:val="28"/>
          <w:szCs w:val="28"/>
          <w:highlight w:val="none"/>
          <w:shd w:val="clear" w:fill="FFFFFF"/>
        </w:rPr>
        <w:t>依据宽城区医院提供的情况说明，</w:t>
      </w:r>
      <w:r>
        <w:rPr>
          <w:rFonts w:hint="eastAsia" w:ascii="宋体" w:hAnsi="宋体" w:cs="仿宋_GB2312"/>
          <w:i w:val="0"/>
          <w:iCs w:val="0"/>
          <w:caps w:val="0"/>
          <w:color w:val="333333"/>
          <w:spacing w:val="6"/>
          <w:sz w:val="28"/>
          <w:szCs w:val="28"/>
          <w:highlight w:val="none"/>
          <w:shd w:val="clear" w:fill="FFFFFF"/>
          <w:lang w:val="en-US" w:eastAsia="zh-CN"/>
        </w:rPr>
        <w:t>本项目门诊医技住院综合楼、发热门诊楼、污水处理垃圾暂存、地下建筑、含场地、大门、围墙、充电车位以及红线内室外电力外网管线、弱电外网管线、室外道路照明等建设内容已完工，现在验收阶段，</w:t>
      </w:r>
      <w:r>
        <w:rPr>
          <w:rFonts w:hint="eastAsia" w:ascii="宋体" w:hAnsi="宋体" w:eastAsia="仿宋_GB2312" w:cs="仿宋_GB2312"/>
          <w:i w:val="0"/>
          <w:iCs w:val="0"/>
          <w:caps w:val="0"/>
          <w:color w:val="333333"/>
          <w:spacing w:val="6"/>
          <w:sz w:val="28"/>
          <w:szCs w:val="28"/>
          <w:highlight w:val="none"/>
          <w:shd w:val="clear" w:fill="FFFFFF"/>
        </w:rPr>
        <w:t>达到年度</w:t>
      </w:r>
      <w:r>
        <w:rPr>
          <w:rFonts w:hint="eastAsia" w:ascii="宋体" w:hAnsi="宋体" w:cs="仿宋_GB2312"/>
          <w:i w:val="0"/>
          <w:iCs w:val="0"/>
          <w:caps w:val="0"/>
          <w:color w:val="333333"/>
          <w:spacing w:val="6"/>
          <w:sz w:val="28"/>
          <w:szCs w:val="28"/>
          <w:highlight w:val="none"/>
          <w:shd w:val="clear" w:fill="FFFFFF"/>
          <w:lang w:val="en-US" w:eastAsia="zh-CN"/>
        </w:rPr>
        <w:t>建设</w:t>
      </w:r>
      <w:r>
        <w:rPr>
          <w:rFonts w:hint="eastAsia" w:ascii="宋体" w:hAnsi="宋体" w:eastAsia="仿宋_GB2312" w:cs="仿宋_GB2312"/>
          <w:i w:val="0"/>
          <w:iCs w:val="0"/>
          <w:caps w:val="0"/>
          <w:color w:val="333333"/>
          <w:spacing w:val="6"/>
          <w:sz w:val="28"/>
          <w:szCs w:val="28"/>
          <w:highlight w:val="none"/>
          <w:shd w:val="clear" w:fill="FFFFFF"/>
        </w:rPr>
        <w:t>目标。</w:t>
      </w:r>
      <w:r>
        <w:rPr>
          <w:rFonts w:hint="eastAsia" w:ascii="宋体" w:hAnsi="宋体" w:cs="仿宋_GB2312"/>
          <w:i w:val="0"/>
          <w:iCs w:val="0"/>
          <w:caps w:val="0"/>
          <w:color w:val="333333"/>
          <w:spacing w:val="6"/>
          <w:sz w:val="28"/>
          <w:szCs w:val="28"/>
          <w:highlight w:val="none"/>
          <w:shd w:val="clear" w:fill="FFFFFF"/>
          <w:lang w:val="en-US" w:eastAsia="zh-CN"/>
        </w:rPr>
        <w:t>本项目</w:t>
      </w:r>
      <w:r>
        <w:rPr>
          <w:rFonts w:hint="eastAsia" w:ascii="宋体" w:hAnsi="宋体" w:eastAsia="仿宋_GB2312" w:cs="仿宋_GB2312"/>
          <w:i w:val="0"/>
          <w:iCs w:val="0"/>
          <w:caps w:val="0"/>
          <w:color w:val="333333"/>
          <w:spacing w:val="6"/>
          <w:sz w:val="28"/>
          <w:szCs w:val="28"/>
          <w:highlight w:val="none"/>
          <w:shd w:val="clear" w:fill="FFFFFF"/>
        </w:rPr>
        <w:t>已进入试运行阶段，但无相关手续，且验收工作未完成，扣</w:t>
      </w:r>
      <w:r>
        <w:rPr>
          <w:rFonts w:hint="eastAsia" w:ascii="宋体" w:hAnsi="宋体" w:cs="仿宋_GB2312"/>
          <w:i w:val="0"/>
          <w:iCs w:val="0"/>
          <w:caps w:val="0"/>
          <w:color w:val="333333"/>
          <w:spacing w:val="6"/>
          <w:sz w:val="28"/>
          <w:szCs w:val="28"/>
          <w:highlight w:val="none"/>
          <w:shd w:val="clear" w:fill="FFFFFF"/>
          <w:lang w:val="en-US" w:eastAsia="zh-CN"/>
        </w:rPr>
        <w:t>1</w:t>
      </w:r>
      <w:r>
        <w:rPr>
          <w:rFonts w:hint="eastAsia" w:ascii="宋体" w:hAnsi="宋体" w:eastAsia="仿宋_GB2312" w:cs="仿宋_GB2312"/>
          <w:i w:val="0"/>
          <w:iCs w:val="0"/>
          <w:caps w:val="0"/>
          <w:color w:val="333333"/>
          <w:spacing w:val="6"/>
          <w:sz w:val="28"/>
          <w:szCs w:val="28"/>
          <w:highlight w:val="none"/>
          <w:shd w:val="clear" w:fill="FFFFFF"/>
        </w:rPr>
        <w:t>分</w:t>
      </w:r>
      <w:r>
        <w:rPr>
          <w:rFonts w:hint="eastAsia" w:ascii="宋体" w:hAnsi="宋体" w:cs="仿宋_GB2312"/>
          <w:i w:val="0"/>
          <w:iCs w:val="0"/>
          <w:caps w:val="0"/>
          <w:color w:val="333333"/>
          <w:spacing w:val="6"/>
          <w:sz w:val="28"/>
          <w:szCs w:val="28"/>
          <w:highlight w:val="none"/>
          <w:shd w:val="clear" w:fill="FFFFFF"/>
          <w:lang w:val="en-US" w:eastAsia="zh-CN"/>
        </w:rPr>
        <w:t>。截至2025年度，投资规模42,973.12万元占总概算投资的比例为77.89%，达到目标。</w:t>
      </w:r>
    </w:p>
    <w:p w14:paraId="389D64F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lang w:eastAsia="zh-CN"/>
        </w:rPr>
      </w:pPr>
      <w:bookmarkStart w:id="95" w:name="_Toc29659"/>
      <w:bookmarkStart w:id="96" w:name="_Toc13696"/>
      <w:r>
        <w:rPr>
          <w:rFonts w:hint="eastAsia" w:ascii="宋体" w:hAnsi="宋体" w:eastAsia="仿宋_GB2312" w:cs="仿宋_GB2312"/>
          <w:i w:val="0"/>
          <w:iCs w:val="0"/>
          <w:caps w:val="0"/>
          <w:color w:val="333333"/>
          <w:spacing w:val="6"/>
          <w:sz w:val="28"/>
          <w:szCs w:val="28"/>
          <w:shd w:val="clear" w:fill="FFFFFF"/>
        </w:rPr>
        <w:t>2.产出质量</w:t>
      </w:r>
      <w:r>
        <w:rPr>
          <w:rFonts w:hint="eastAsia" w:ascii="宋体" w:hAnsi="宋体" w:eastAsia="仿宋_GB2312" w:cs="仿宋_GB2312"/>
          <w:i w:val="0"/>
          <w:iCs w:val="0"/>
          <w:caps w:val="0"/>
          <w:color w:val="333333"/>
          <w:spacing w:val="6"/>
          <w:sz w:val="28"/>
          <w:szCs w:val="28"/>
          <w:shd w:val="clear" w:fill="FFFFFF"/>
          <w:lang w:eastAsia="zh-CN"/>
        </w:rPr>
        <w:t>（</w:t>
      </w:r>
      <w:r>
        <w:rPr>
          <w:rFonts w:hint="eastAsia" w:ascii="宋体" w:hAnsi="宋体" w:eastAsia="仿宋_GB2312" w:cs="仿宋_GB2312"/>
          <w:i w:val="0"/>
          <w:iCs w:val="0"/>
          <w:caps w:val="0"/>
          <w:color w:val="333333"/>
          <w:spacing w:val="6"/>
          <w:sz w:val="28"/>
          <w:szCs w:val="28"/>
          <w:shd w:val="clear" w:fill="FFFFFF"/>
          <w:lang w:val="en-US" w:eastAsia="zh-CN"/>
        </w:rPr>
        <w:t>满分9分，得分9分</w:t>
      </w:r>
      <w:r>
        <w:rPr>
          <w:rFonts w:hint="eastAsia" w:ascii="宋体" w:hAnsi="宋体" w:eastAsia="仿宋_GB2312" w:cs="仿宋_GB2312"/>
          <w:i w:val="0"/>
          <w:iCs w:val="0"/>
          <w:caps w:val="0"/>
          <w:color w:val="333333"/>
          <w:spacing w:val="6"/>
          <w:sz w:val="28"/>
          <w:szCs w:val="28"/>
          <w:shd w:val="clear" w:fill="FFFFFF"/>
          <w:lang w:eastAsia="zh-CN"/>
        </w:rPr>
        <w:t>）</w:t>
      </w:r>
      <w:bookmarkEnd w:id="95"/>
      <w:bookmarkEnd w:id="96"/>
    </w:p>
    <w:p w14:paraId="4B23677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rPr>
      </w:pPr>
      <w:r>
        <w:rPr>
          <w:rFonts w:hint="eastAsia" w:ascii="宋体" w:hAnsi="宋体" w:eastAsia="仿宋_GB2312" w:cs="仿宋_GB2312"/>
          <w:i w:val="0"/>
          <w:iCs w:val="0"/>
          <w:caps w:val="0"/>
          <w:color w:val="333333"/>
          <w:spacing w:val="6"/>
          <w:sz w:val="28"/>
          <w:szCs w:val="28"/>
          <w:shd w:val="clear" w:fill="FFFFFF"/>
        </w:rPr>
        <w:t>质量达标</w:t>
      </w:r>
    </w:p>
    <w:p w14:paraId="52F5BE1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pP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指标分值9分，得9分。依据宽城区医院提供的情况说明，本项目在建工程施工现场安全质量管理到位，材料送检全部合格，符合国家相关行业的质量检测标准，不存在其他隐患。</w:t>
      </w:r>
    </w:p>
    <w:p w14:paraId="3927C89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pPr>
      <w:bookmarkStart w:id="97" w:name="_Toc25935"/>
      <w:bookmarkStart w:id="98" w:name="_Toc26184"/>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3.产出时效（满分8分，得分5分）</w:t>
      </w:r>
      <w:bookmarkEnd w:id="97"/>
      <w:bookmarkEnd w:id="98"/>
    </w:p>
    <w:p w14:paraId="712B4CA3">
      <w:pPr>
        <w:pStyle w:val="5"/>
        <w:pageBreakBefore w:val="0"/>
        <w:wordWrap/>
        <w:overflowPunct/>
        <w:topLinePunct w:val="0"/>
        <w:bidi w:val="0"/>
        <w:ind w:firstLine="560" w:firstLineChars="200"/>
        <w:jc w:val="both"/>
        <w:textAlignment w:val="baseline"/>
        <w:rPr>
          <w:rFonts w:hint="eastAsia" w:ascii="宋体" w:hAnsi="宋体"/>
          <w:sz w:val="28"/>
          <w:szCs w:val="28"/>
          <w:lang w:val="en-US" w:eastAsia="zh-CN"/>
        </w:rPr>
      </w:pPr>
      <w:r>
        <w:rPr>
          <w:rFonts w:hint="eastAsia" w:ascii="宋体" w:hAnsi="宋体"/>
          <w:sz w:val="28"/>
          <w:szCs w:val="28"/>
          <w:lang w:val="en-US" w:eastAsia="zh-CN"/>
        </w:rPr>
        <w:t>开工竣工及时率</w:t>
      </w:r>
    </w:p>
    <w:p w14:paraId="2B8260B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lang w:val="en-US" w:eastAsia="zh-CN"/>
        </w:rPr>
        <w:t>指标分值</w:t>
      </w:r>
      <w:r>
        <w:rPr>
          <w:rFonts w:hint="eastAsia" w:ascii="宋体" w:hAnsi="宋体" w:cs="仿宋_GB2312"/>
          <w:i w:val="0"/>
          <w:iCs w:val="0"/>
          <w:caps w:val="0"/>
          <w:color w:val="333333"/>
          <w:spacing w:val="6"/>
          <w:sz w:val="28"/>
          <w:szCs w:val="28"/>
          <w:highlight w:val="none"/>
          <w:shd w:val="clear" w:fill="FFFFFF"/>
          <w:lang w:val="en-US" w:eastAsia="zh-CN"/>
        </w:rPr>
        <w:t>8</w:t>
      </w:r>
      <w:r>
        <w:rPr>
          <w:rFonts w:hint="eastAsia" w:ascii="宋体" w:hAnsi="宋体" w:eastAsia="仿宋_GB2312" w:cs="仿宋_GB2312"/>
          <w:i w:val="0"/>
          <w:iCs w:val="0"/>
          <w:caps w:val="0"/>
          <w:color w:val="333333"/>
          <w:spacing w:val="6"/>
          <w:sz w:val="28"/>
          <w:szCs w:val="28"/>
          <w:highlight w:val="none"/>
          <w:shd w:val="clear" w:fill="FFFFFF"/>
          <w:lang w:val="en-US" w:eastAsia="zh-CN"/>
        </w:rPr>
        <w:t>分，得分</w:t>
      </w:r>
      <w:r>
        <w:rPr>
          <w:rFonts w:hint="eastAsia" w:ascii="宋体" w:hAnsi="宋体" w:cs="仿宋_GB2312"/>
          <w:i w:val="0"/>
          <w:iCs w:val="0"/>
          <w:caps w:val="0"/>
          <w:color w:val="333333"/>
          <w:spacing w:val="6"/>
          <w:sz w:val="28"/>
          <w:szCs w:val="28"/>
          <w:highlight w:val="none"/>
          <w:shd w:val="clear" w:fill="FFFFFF"/>
          <w:lang w:val="en-US" w:eastAsia="zh-CN"/>
        </w:rPr>
        <w:t>5</w:t>
      </w:r>
      <w:r>
        <w:rPr>
          <w:rFonts w:hint="eastAsia" w:ascii="宋体" w:hAnsi="宋体" w:eastAsia="仿宋_GB2312" w:cs="仿宋_GB2312"/>
          <w:i w:val="0"/>
          <w:iCs w:val="0"/>
          <w:caps w:val="0"/>
          <w:color w:val="333333"/>
          <w:spacing w:val="6"/>
          <w:sz w:val="28"/>
          <w:szCs w:val="28"/>
          <w:highlight w:val="none"/>
          <w:shd w:val="clear" w:fill="FFFFFF"/>
          <w:lang w:val="en-US" w:eastAsia="zh-CN"/>
        </w:rPr>
        <w:t>分</w:t>
      </w:r>
      <w:r>
        <w:rPr>
          <w:rFonts w:hint="eastAsia" w:ascii="宋体" w:hAnsi="宋体" w:cs="仿宋_GB2312"/>
          <w:i w:val="0"/>
          <w:iCs w:val="0"/>
          <w:caps w:val="0"/>
          <w:color w:val="333333"/>
          <w:spacing w:val="6"/>
          <w:sz w:val="28"/>
          <w:szCs w:val="28"/>
          <w:highlight w:val="none"/>
          <w:shd w:val="clear" w:fill="FFFFFF"/>
          <w:lang w:val="en-US" w:eastAsia="zh-CN"/>
        </w:rPr>
        <w:t>，扣3分</w:t>
      </w:r>
      <w:r>
        <w:rPr>
          <w:rFonts w:hint="eastAsia" w:ascii="宋体" w:hAnsi="宋体" w:eastAsia="仿宋_GB2312" w:cs="仿宋_GB2312"/>
          <w:i w:val="0"/>
          <w:iCs w:val="0"/>
          <w:caps w:val="0"/>
          <w:color w:val="333333"/>
          <w:spacing w:val="6"/>
          <w:sz w:val="28"/>
          <w:szCs w:val="28"/>
          <w:highlight w:val="none"/>
          <w:shd w:val="clear" w:fill="FFFFFF"/>
          <w:lang w:val="en-US" w:eastAsia="zh-CN"/>
        </w:rPr>
        <w:t>。根据</w:t>
      </w:r>
      <w:r>
        <w:rPr>
          <w:rFonts w:hint="eastAsia" w:ascii="宋体" w:hAnsi="宋体" w:cs="仿宋_GB2312"/>
          <w:i w:val="0"/>
          <w:iCs w:val="0"/>
          <w:caps w:val="0"/>
          <w:color w:val="333333"/>
          <w:spacing w:val="6"/>
          <w:sz w:val="28"/>
          <w:szCs w:val="28"/>
          <w:highlight w:val="none"/>
          <w:shd w:val="clear" w:fill="FFFFFF"/>
          <w:lang w:val="en-US" w:eastAsia="zh-CN"/>
        </w:rPr>
        <w:t>《宽城区发展和改革局关于调整长春市宽城区医院异地建设项目初步设计的批复》（长宽发改字【2023】16号）</w:t>
      </w:r>
      <w:r>
        <w:rPr>
          <w:rFonts w:hint="eastAsia" w:ascii="宋体" w:hAnsi="宋体" w:eastAsia="仿宋_GB2312" w:cs="仿宋_GB2312"/>
          <w:i w:val="0"/>
          <w:iCs w:val="0"/>
          <w:caps w:val="0"/>
          <w:color w:val="333333"/>
          <w:spacing w:val="6"/>
          <w:sz w:val="28"/>
          <w:szCs w:val="28"/>
          <w:highlight w:val="none"/>
          <w:shd w:val="clear" w:fill="FFFFFF"/>
          <w:lang w:val="en-US" w:eastAsia="zh-CN"/>
        </w:rPr>
        <w:t>，本项目</w:t>
      </w:r>
      <w:r>
        <w:rPr>
          <w:rFonts w:hint="eastAsia" w:ascii="宋体" w:hAnsi="宋体" w:cs="仿宋_GB2312"/>
          <w:i w:val="0"/>
          <w:iCs w:val="0"/>
          <w:caps w:val="0"/>
          <w:color w:val="333333"/>
          <w:spacing w:val="6"/>
          <w:sz w:val="28"/>
          <w:szCs w:val="28"/>
          <w:highlight w:val="none"/>
          <w:shd w:val="clear" w:fill="FFFFFF"/>
          <w:lang w:val="en-US" w:eastAsia="zh-CN"/>
        </w:rPr>
        <w:t>实施进度计划为36个月</w:t>
      </w:r>
      <w:r>
        <w:rPr>
          <w:rFonts w:hint="eastAsia" w:ascii="宋体" w:hAnsi="宋体" w:eastAsia="仿宋_GB2312" w:cs="仿宋_GB2312"/>
          <w:i w:val="0"/>
          <w:iCs w:val="0"/>
          <w:caps w:val="0"/>
          <w:color w:val="333333"/>
          <w:spacing w:val="6"/>
          <w:sz w:val="28"/>
          <w:szCs w:val="28"/>
          <w:highlight w:val="none"/>
          <w:shd w:val="clear" w:fill="FFFFFF"/>
          <w:lang w:val="en-US" w:eastAsia="zh-CN"/>
        </w:rPr>
        <w:t>，</w:t>
      </w:r>
      <w:r>
        <w:rPr>
          <w:rFonts w:hint="eastAsia" w:ascii="宋体" w:hAnsi="宋体" w:cs="仿宋_GB2312"/>
          <w:i w:val="0"/>
          <w:iCs w:val="0"/>
          <w:caps w:val="0"/>
          <w:color w:val="333333"/>
          <w:spacing w:val="6"/>
          <w:sz w:val="28"/>
          <w:szCs w:val="28"/>
          <w:highlight w:val="none"/>
          <w:shd w:val="clear" w:fill="FFFFFF"/>
          <w:lang w:val="en-US" w:eastAsia="zh-CN"/>
        </w:rPr>
        <w:t>从2022月9月-2025年8月</w:t>
      </w:r>
      <w:r>
        <w:rPr>
          <w:rFonts w:hint="eastAsia" w:ascii="宋体" w:hAnsi="宋体" w:eastAsia="仿宋_GB2312" w:cs="仿宋_GB2312"/>
          <w:i w:val="0"/>
          <w:iCs w:val="0"/>
          <w:caps w:val="0"/>
          <w:color w:val="333333"/>
          <w:spacing w:val="6"/>
          <w:sz w:val="28"/>
          <w:szCs w:val="28"/>
          <w:highlight w:val="none"/>
          <w:shd w:val="clear" w:fill="FFFFFF"/>
          <w:lang w:val="en-US" w:eastAsia="zh-CN"/>
        </w:rPr>
        <w:t>。</w:t>
      </w:r>
      <w:r>
        <w:rPr>
          <w:rFonts w:hint="eastAsia" w:ascii="宋体" w:hAnsi="宋体" w:cs="仿宋_GB2312"/>
          <w:i w:val="0"/>
          <w:iCs w:val="0"/>
          <w:caps w:val="0"/>
          <w:color w:val="333333"/>
          <w:spacing w:val="6"/>
          <w:sz w:val="28"/>
          <w:szCs w:val="28"/>
          <w:highlight w:val="none"/>
          <w:shd w:val="clear" w:fill="FFFFFF"/>
          <w:lang w:val="en-US" w:eastAsia="zh-CN"/>
        </w:rPr>
        <w:t>依据开工报告，本项目开工日期为2023年4月7日，截至目前已完成规划、消防验收，正在组织剩余联合验收，未按规定日期竣工，扣3分。</w:t>
      </w:r>
      <w:bookmarkStart w:id="99" w:name="_Toc4172"/>
      <w:bookmarkStart w:id="100" w:name="_Toc19320"/>
      <w:bookmarkStart w:id="101" w:name="_Toc1845"/>
    </w:p>
    <w:p w14:paraId="4F69195D">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both"/>
        <w:textAlignment w:val="baseline"/>
        <w:rPr>
          <w:rFonts w:hint="eastAsia" w:ascii="宋体" w:hAnsi="宋体"/>
          <w:sz w:val="28"/>
          <w:szCs w:val="28"/>
          <w:lang w:eastAsia="zh-CN"/>
        </w:rPr>
      </w:pPr>
      <w:r>
        <w:rPr>
          <w:rFonts w:hint="eastAsia" w:ascii="宋体" w:hAnsi="宋体" w:eastAsia="仿宋_GB2312" w:cs="Arial"/>
          <w:snapToGrid w:val="0"/>
          <w:color w:val="000000"/>
          <w:kern w:val="0"/>
          <w:sz w:val="28"/>
          <w:szCs w:val="28"/>
          <w:lang w:val="en-US" w:eastAsia="zh-CN" w:bidi="ar"/>
        </w:rPr>
        <w:t>4.</w:t>
      </w:r>
      <w:r>
        <w:rPr>
          <w:rFonts w:hint="eastAsia" w:ascii="宋体" w:hAnsi="宋体"/>
          <w:sz w:val="28"/>
          <w:szCs w:val="28"/>
        </w:rPr>
        <w:t>产出成本</w:t>
      </w:r>
      <w:r>
        <w:rPr>
          <w:rFonts w:hint="eastAsia" w:ascii="宋体" w:hAnsi="宋体"/>
          <w:sz w:val="28"/>
          <w:szCs w:val="28"/>
          <w:lang w:eastAsia="zh-CN"/>
        </w:rPr>
        <w:t>（</w:t>
      </w:r>
      <w:r>
        <w:rPr>
          <w:rFonts w:hint="eastAsia" w:ascii="宋体" w:hAnsi="宋体"/>
          <w:sz w:val="28"/>
          <w:szCs w:val="28"/>
          <w:lang w:val="en-US" w:eastAsia="zh-CN"/>
        </w:rPr>
        <w:t>满分9分，得分6分</w:t>
      </w:r>
      <w:r>
        <w:rPr>
          <w:rFonts w:hint="eastAsia" w:ascii="宋体" w:hAnsi="宋体"/>
          <w:sz w:val="28"/>
          <w:szCs w:val="28"/>
          <w:lang w:eastAsia="zh-CN"/>
        </w:rPr>
        <w:t>）</w:t>
      </w:r>
      <w:bookmarkEnd w:id="99"/>
      <w:bookmarkEnd w:id="100"/>
      <w:bookmarkEnd w:id="101"/>
    </w:p>
    <w:p w14:paraId="6B05C80F">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both"/>
        <w:textAlignment w:val="baseline"/>
        <w:rPr>
          <w:rFonts w:hint="eastAsia" w:ascii="宋体" w:hAnsi="宋体"/>
          <w:sz w:val="28"/>
          <w:szCs w:val="28"/>
        </w:rPr>
      </w:pPr>
      <w:r>
        <w:rPr>
          <w:rFonts w:hint="eastAsia" w:ascii="宋体" w:hAnsi="宋体"/>
          <w:sz w:val="28"/>
          <w:szCs w:val="28"/>
        </w:rPr>
        <w:t>成本</w:t>
      </w:r>
      <w:r>
        <w:rPr>
          <w:rFonts w:hint="eastAsia" w:ascii="宋体" w:hAnsi="宋体"/>
          <w:sz w:val="28"/>
          <w:szCs w:val="28"/>
          <w:lang w:val="en-US" w:eastAsia="zh-CN"/>
        </w:rPr>
        <w:t>使用</w:t>
      </w:r>
    </w:p>
    <w:p w14:paraId="42DD40B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default" w:ascii="宋体" w:hAnsi="宋体" w:eastAsia="仿宋_GB2312" w:cs="仿宋_GB2312"/>
          <w:i w:val="0"/>
          <w:iCs w:val="0"/>
          <w:caps w:val="0"/>
          <w:color w:val="333333"/>
          <w:spacing w:val="6"/>
          <w:sz w:val="28"/>
          <w:szCs w:val="28"/>
          <w:shd w:val="clear" w:fill="FFFFFF"/>
          <w:lang w:val="en-US" w:eastAsia="zh-CN"/>
        </w:rPr>
      </w:pPr>
      <w:r>
        <w:rPr>
          <w:rFonts w:hint="eastAsia" w:ascii="宋体" w:hAnsi="宋体" w:eastAsia="仿宋_GB2312" w:cs="仿宋_GB2312"/>
          <w:i w:val="0"/>
          <w:iCs w:val="0"/>
          <w:caps w:val="0"/>
          <w:color w:val="333333"/>
          <w:spacing w:val="6"/>
          <w:sz w:val="28"/>
          <w:szCs w:val="28"/>
          <w:shd w:val="clear" w:fill="FFFFFF"/>
          <w:lang w:val="en-US" w:eastAsia="zh-CN"/>
        </w:rPr>
        <w:t>指标分值9分，得分</w:t>
      </w:r>
      <w:r>
        <w:rPr>
          <w:rFonts w:hint="eastAsia" w:ascii="宋体" w:hAnsi="宋体" w:cs="仿宋_GB2312"/>
          <w:i w:val="0"/>
          <w:iCs w:val="0"/>
          <w:caps w:val="0"/>
          <w:color w:val="333333"/>
          <w:spacing w:val="6"/>
          <w:sz w:val="28"/>
          <w:szCs w:val="28"/>
          <w:shd w:val="clear" w:fill="FFFFFF"/>
          <w:lang w:val="en-US" w:eastAsia="zh-CN"/>
        </w:rPr>
        <w:t>6</w:t>
      </w:r>
      <w:r>
        <w:rPr>
          <w:rFonts w:hint="eastAsia" w:ascii="宋体" w:hAnsi="宋体" w:eastAsia="仿宋_GB2312" w:cs="仿宋_GB2312"/>
          <w:i w:val="0"/>
          <w:iCs w:val="0"/>
          <w:caps w:val="0"/>
          <w:color w:val="333333"/>
          <w:spacing w:val="6"/>
          <w:sz w:val="28"/>
          <w:szCs w:val="28"/>
          <w:shd w:val="clear" w:fill="FFFFFF"/>
          <w:lang w:val="en-US" w:eastAsia="zh-CN"/>
        </w:rPr>
        <w:t>分</w:t>
      </w:r>
      <w:r>
        <w:rPr>
          <w:rFonts w:hint="eastAsia" w:ascii="宋体" w:hAnsi="宋体" w:cs="仿宋_GB2312"/>
          <w:i w:val="0"/>
          <w:iCs w:val="0"/>
          <w:caps w:val="0"/>
          <w:color w:val="333333"/>
          <w:spacing w:val="6"/>
          <w:sz w:val="28"/>
          <w:szCs w:val="28"/>
          <w:shd w:val="clear" w:fill="FFFFFF"/>
          <w:lang w:val="en-US" w:eastAsia="zh-CN"/>
        </w:rPr>
        <w:t>，扣3分</w:t>
      </w:r>
      <w:r>
        <w:rPr>
          <w:rFonts w:hint="eastAsia" w:ascii="宋体" w:hAnsi="宋体" w:eastAsia="仿宋_GB2312" w:cs="仿宋_GB2312"/>
          <w:i w:val="0"/>
          <w:iCs w:val="0"/>
          <w:caps w:val="0"/>
          <w:color w:val="333333"/>
          <w:spacing w:val="6"/>
          <w:sz w:val="28"/>
          <w:szCs w:val="28"/>
          <w:shd w:val="clear" w:fill="FFFFFF"/>
          <w:lang w:val="en-US" w:eastAsia="zh-CN"/>
        </w:rPr>
        <w:t>。本项目专项债券资金已全额到位，且资本金已按照绩效目标拨付，</w:t>
      </w:r>
      <w:r>
        <w:rPr>
          <w:rFonts w:hint="eastAsia" w:ascii="宋体" w:hAnsi="宋体" w:cs="仿宋_GB2312"/>
          <w:i w:val="0"/>
          <w:iCs w:val="0"/>
          <w:caps w:val="0"/>
          <w:color w:val="333333"/>
          <w:spacing w:val="6"/>
          <w:sz w:val="28"/>
          <w:szCs w:val="28"/>
          <w:highlight w:val="none"/>
          <w:shd w:val="clear" w:fill="FFFFFF"/>
          <w:lang w:val="en-US" w:eastAsia="zh-CN"/>
        </w:rPr>
        <w:t>本项目标识导视系统采购与安装合同价格1,168,097.61元，合同约定工程竣工后</w:t>
      </w:r>
      <w:r>
        <w:rPr>
          <w:rFonts w:hint="eastAsia" w:ascii="宋体" w:hAnsi="宋体" w:cs="仿宋_GB2312"/>
          <w:i w:val="0"/>
          <w:iCs w:val="0"/>
          <w:caps w:val="0"/>
          <w:color w:val="333333"/>
          <w:spacing w:val="6"/>
          <w:sz w:val="28"/>
          <w:szCs w:val="28"/>
          <w:shd w:val="clear" w:fill="FFFFFF"/>
          <w:lang w:val="en-US" w:eastAsia="zh-CN"/>
        </w:rPr>
        <w:t>支付至合同价款的80%，即934,478.09元，2025年度实际已支付952,114.06元，超出合同约定支付额度，扣3分</w:t>
      </w:r>
      <w:r>
        <w:rPr>
          <w:rFonts w:hint="eastAsia" w:ascii="宋体" w:hAnsi="宋体" w:eastAsia="仿宋_GB2312" w:cs="仿宋_GB2312"/>
          <w:i w:val="0"/>
          <w:iCs w:val="0"/>
          <w:caps w:val="0"/>
          <w:color w:val="333333"/>
          <w:spacing w:val="6"/>
          <w:sz w:val="28"/>
          <w:szCs w:val="28"/>
          <w:shd w:val="clear" w:fill="FFFFFF"/>
          <w:lang w:val="en-US" w:eastAsia="zh-CN"/>
        </w:rPr>
        <w:t>。</w:t>
      </w:r>
    </w:p>
    <w:p w14:paraId="797038DD">
      <w:pPr>
        <w:pStyle w:val="3"/>
        <w:pageBreakBefore w:val="0"/>
        <w:wordWrap/>
        <w:overflowPunct/>
        <w:topLinePunct w:val="0"/>
        <w:bidi w:val="0"/>
        <w:ind w:firstLine="562" w:firstLineChars="200"/>
        <w:jc w:val="both"/>
        <w:textAlignment w:val="baseline"/>
        <w:rPr>
          <w:rFonts w:hint="eastAsia" w:ascii="宋体" w:hAnsi="宋体"/>
          <w:sz w:val="28"/>
          <w:szCs w:val="28"/>
        </w:rPr>
      </w:pPr>
      <w:bookmarkStart w:id="102" w:name="_Toc13577"/>
      <w:r>
        <w:rPr>
          <w:rFonts w:hint="eastAsia" w:ascii="宋体" w:hAnsi="宋体"/>
          <w:sz w:val="28"/>
          <w:szCs w:val="28"/>
        </w:rPr>
        <w:t>（四）效益情况分析</w:t>
      </w:r>
      <w:bookmarkEnd w:id="102"/>
    </w:p>
    <w:p w14:paraId="640FCFE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spacing w:val="6"/>
          <w:sz w:val="28"/>
          <w:szCs w:val="28"/>
        </w:rPr>
      </w:pPr>
      <w:r>
        <w:rPr>
          <w:rFonts w:hint="eastAsia" w:ascii="宋体" w:hAnsi="宋体" w:eastAsia="仿宋_GB2312" w:cs="仿宋_GB2312"/>
          <w:i w:val="0"/>
          <w:iCs w:val="0"/>
          <w:caps w:val="0"/>
          <w:color w:val="333333"/>
          <w:spacing w:val="6"/>
          <w:sz w:val="28"/>
          <w:szCs w:val="28"/>
          <w:shd w:val="clear" w:fill="FFFFFF"/>
        </w:rPr>
        <w:t>“效益”指标涉及二级指标</w:t>
      </w:r>
      <w:r>
        <w:rPr>
          <w:rFonts w:hint="eastAsia" w:ascii="宋体" w:hAnsi="宋体" w:eastAsia="仿宋_GB2312" w:cs="仿宋_GB2312"/>
          <w:i w:val="0"/>
          <w:iCs w:val="0"/>
          <w:caps w:val="0"/>
          <w:color w:val="333333"/>
          <w:spacing w:val="6"/>
          <w:sz w:val="28"/>
          <w:szCs w:val="28"/>
          <w:shd w:val="clear" w:fill="FFFFFF"/>
          <w:lang w:val="en-US" w:eastAsia="zh-CN"/>
        </w:rPr>
        <w:t>5</w:t>
      </w:r>
      <w:r>
        <w:rPr>
          <w:rFonts w:hint="eastAsia" w:ascii="宋体" w:hAnsi="宋体" w:eastAsia="仿宋_GB2312" w:cs="仿宋_GB2312"/>
          <w:i w:val="0"/>
          <w:iCs w:val="0"/>
          <w:caps w:val="0"/>
          <w:color w:val="333333"/>
          <w:spacing w:val="6"/>
          <w:sz w:val="28"/>
          <w:szCs w:val="28"/>
          <w:shd w:val="clear" w:fill="FFFFFF"/>
        </w:rPr>
        <w:t>个，三级指标</w:t>
      </w:r>
      <w:r>
        <w:rPr>
          <w:rFonts w:hint="eastAsia" w:ascii="宋体" w:hAnsi="宋体" w:eastAsia="仿宋_GB2312" w:cs="仿宋_GB2312"/>
          <w:i w:val="0"/>
          <w:iCs w:val="0"/>
          <w:caps w:val="0"/>
          <w:color w:val="333333"/>
          <w:spacing w:val="6"/>
          <w:sz w:val="28"/>
          <w:szCs w:val="28"/>
          <w:shd w:val="clear" w:fill="FFFFFF"/>
          <w:lang w:val="en-US" w:eastAsia="zh-CN"/>
        </w:rPr>
        <w:t>5</w:t>
      </w:r>
      <w:r>
        <w:rPr>
          <w:rFonts w:hint="eastAsia" w:ascii="宋体" w:hAnsi="宋体" w:eastAsia="仿宋_GB2312" w:cs="仿宋_GB2312"/>
          <w:i w:val="0"/>
          <w:iCs w:val="0"/>
          <w:caps w:val="0"/>
          <w:color w:val="333333"/>
          <w:spacing w:val="6"/>
          <w:sz w:val="28"/>
          <w:szCs w:val="28"/>
          <w:shd w:val="clear" w:fill="FFFFFF"/>
        </w:rPr>
        <w:t>个，总分值2</w:t>
      </w:r>
      <w:r>
        <w:rPr>
          <w:rFonts w:hint="eastAsia" w:ascii="宋体" w:hAnsi="宋体" w:cs="仿宋_GB2312"/>
          <w:i w:val="0"/>
          <w:iCs w:val="0"/>
          <w:caps w:val="0"/>
          <w:color w:val="333333"/>
          <w:spacing w:val="6"/>
          <w:sz w:val="28"/>
          <w:szCs w:val="28"/>
          <w:shd w:val="clear" w:fill="FFFFFF"/>
          <w:lang w:val="en-US" w:eastAsia="zh-CN"/>
        </w:rPr>
        <w:t>0</w:t>
      </w:r>
      <w:r>
        <w:rPr>
          <w:rFonts w:hint="eastAsia" w:ascii="宋体" w:hAnsi="宋体" w:eastAsia="仿宋_GB2312" w:cs="仿宋_GB2312"/>
          <w:i w:val="0"/>
          <w:iCs w:val="0"/>
          <w:caps w:val="0"/>
          <w:color w:val="333333"/>
          <w:spacing w:val="6"/>
          <w:sz w:val="28"/>
          <w:szCs w:val="28"/>
          <w:shd w:val="clear" w:fill="FFFFFF"/>
        </w:rPr>
        <w:t>分，得分</w:t>
      </w:r>
      <w:r>
        <w:rPr>
          <w:rFonts w:hint="eastAsia" w:ascii="宋体" w:hAnsi="宋体" w:eastAsia="仿宋_GB2312" w:cs="仿宋_GB2312"/>
          <w:i w:val="0"/>
          <w:iCs w:val="0"/>
          <w:caps w:val="0"/>
          <w:color w:val="333333"/>
          <w:spacing w:val="6"/>
          <w:sz w:val="28"/>
          <w:szCs w:val="28"/>
          <w:shd w:val="clear" w:fill="FFFFFF"/>
          <w:lang w:val="en-US" w:eastAsia="zh-CN"/>
        </w:rPr>
        <w:t>2</w:t>
      </w:r>
      <w:r>
        <w:rPr>
          <w:rFonts w:hint="eastAsia" w:ascii="宋体" w:hAnsi="宋体" w:cs="仿宋_GB2312"/>
          <w:i w:val="0"/>
          <w:iCs w:val="0"/>
          <w:caps w:val="0"/>
          <w:color w:val="333333"/>
          <w:spacing w:val="6"/>
          <w:sz w:val="28"/>
          <w:szCs w:val="28"/>
          <w:shd w:val="clear" w:fill="FFFFFF"/>
          <w:lang w:val="en-US" w:eastAsia="zh-CN"/>
        </w:rPr>
        <w:t>0</w:t>
      </w:r>
      <w:r>
        <w:rPr>
          <w:rFonts w:hint="eastAsia" w:ascii="宋体" w:hAnsi="宋体" w:eastAsia="仿宋_GB2312" w:cs="仿宋_GB2312"/>
          <w:i w:val="0"/>
          <w:iCs w:val="0"/>
          <w:caps w:val="0"/>
          <w:color w:val="333333"/>
          <w:spacing w:val="6"/>
          <w:sz w:val="28"/>
          <w:szCs w:val="28"/>
          <w:shd w:val="clear" w:fill="FFFFFF"/>
        </w:rPr>
        <w:t>分，得分率</w:t>
      </w:r>
      <w:r>
        <w:rPr>
          <w:rFonts w:hint="eastAsia" w:ascii="宋体" w:hAnsi="宋体" w:cs="仿宋_GB2312"/>
          <w:i w:val="0"/>
          <w:iCs w:val="0"/>
          <w:caps w:val="0"/>
          <w:color w:val="333333"/>
          <w:spacing w:val="6"/>
          <w:sz w:val="28"/>
          <w:szCs w:val="28"/>
          <w:shd w:val="clear" w:fill="FFFFFF"/>
          <w:lang w:val="en-US" w:eastAsia="zh-CN"/>
        </w:rPr>
        <w:t>100.00</w:t>
      </w:r>
      <w:r>
        <w:rPr>
          <w:rFonts w:hint="eastAsia" w:ascii="宋体" w:hAnsi="宋体" w:eastAsia="仿宋_GB2312" w:cs="仿宋_GB2312"/>
          <w:i w:val="0"/>
          <w:iCs w:val="0"/>
          <w:caps w:val="0"/>
          <w:color w:val="333333"/>
          <w:spacing w:val="6"/>
          <w:sz w:val="28"/>
          <w:szCs w:val="28"/>
          <w:shd w:val="clear" w:fill="FFFFFF"/>
        </w:rPr>
        <w:t>%。</w:t>
      </w:r>
    </w:p>
    <w:p w14:paraId="247C07B8">
      <w:pPr>
        <w:pStyle w:val="4"/>
        <w:pageBreakBefore w:val="0"/>
        <w:wordWrap/>
        <w:overflowPunct/>
        <w:topLinePunct w:val="0"/>
        <w:bidi w:val="0"/>
        <w:ind w:firstLine="560" w:firstLineChars="200"/>
        <w:jc w:val="both"/>
        <w:textAlignment w:val="baseline"/>
        <w:rPr>
          <w:rFonts w:hint="eastAsia" w:ascii="宋体" w:hAnsi="宋体" w:eastAsia="仿宋_GB2312"/>
          <w:sz w:val="28"/>
          <w:szCs w:val="28"/>
          <w:lang w:eastAsia="zh-CN"/>
        </w:rPr>
      </w:pPr>
      <w:bookmarkStart w:id="103" w:name="_Toc27842"/>
      <w:bookmarkStart w:id="104" w:name="_Toc10299"/>
      <w:bookmarkStart w:id="105" w:name="_Toc11466"/>
      <w:r>
        <w:rPr>
          <w:rFonts w:hint="eastAsia" w:ascii="宋体" w:hAnsi="宋体"/>
          <w:sz w:val="28"/>
          <w:szCs w:val="28"/>
        </w:rPr>
        <w:t>1.社会效益</w:t>
      </w:r>
      <w:bookmarkEnd w:id="103"/>
      <w:r>
        <w:rPr>
          <w:rFonts w:hint="eastAsia" w:ascii="宋体" w:hAnsi="宋体"/>
          <w:sz w:val="28"/>
          <w:szCs w:val="28"/>
          <w:lang w:eastAsia="zh-CN"/>
        </w:rPr>
        <w:t>（</w:t>
      </w:r>
      <w:r>
        <w:rPr>
          <w:rFonts w:hint="eastAsia" w:ascii="宋体" w:hAnsi="宋体"/>
          <w:sz w:val="28"/>
          <w:szCs w:val="28"/>
          <w:lang w:val="en-US" w:eastAsia="zh-CN"/>
        </w:rPr>
        <w:t>满分4分，得分4分</w:t>
      </w:r>
      <w:r>
        <w:rPr>
          <w:rFonts w:hint="eastAsia" w:ascii="宋体" w:hAnsi="宋体"/>
          <w:sz w:val="28"/>
          <w:szCs w:val="28"/>
          <w:lang w:eastAsia="zh-CN"/>
        </w:rPr>
        <w:t>）</w:t>
      </w:r>
      <w:bookmarkEnd w:id="104"/>
      <w:bookmarkEnd w:id="105"/>
    </w:p>
    <w:p w14:paraId="39E57A03">
      <w:pPr>
        <w:pStyle w:val="5"/>
        <w:pageBreakBefore w:val="0"/>
        <w:wordWrap/>
        <w:overflowPunct/>
        <w:topLinePunct w:val="0"/>
        <w:bidi w:val="0"/>
        <w:ind w:firstLine="560" w:firstLineChars="200"/>
        <w:jc w:val="both"/>
        <w:textAlignment w:val="baseline"/>
        <w:rPr>
          <w:rFonts w:hint="eastAsia" w:ascii="宋体" w:hAnsi="宋体"/>
          <w:sz w:val="28"/>
          <w:szCs w:val="28"/>
          <w:lang w:val="en-US" w:eastAsia="zh-CN"/>
        </w:rPr>
      </w:pPr>
      <w:r>
        <w:rPr>
          <w:rFonts w:hint="eastAsia" w:ascii="宋体" w:hAnsi="宋体"/>
          <w:sz w:val="28"/>
          <w:szCs w:val="28"/>
          <w:lang w:val="en-US" w:eastAsia="zh-CN"/>
        </w:rPr>
        <w:t>社会影响度</w:t>
      </w:r>
    </w:p>
    <w:p w14:paraId="71E5C26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rPr>
      </w:pPr>
      <w:r>
        <w:rPr>
          <w:rFonts w:hint="eastAsia" w:ascii="宋体" w:hAnsi="宋体" w:eastAsia="仿宋_GB2312" w:cs="仿宋_GB2312"/>
          <w:i w:val="0"/>
          <w:iCs w:val="0"/>
          <w:caps w:val="0"/>
          <w:color w:val="333333"/>
          <w:spacing w:val="6"/>
          <w:sz w:val="28"/>
          <w:szCs w:val="28"/>
          <w:shd w:val="clear" w:fill="FFFFFF"/>
        </w:rPr>
        <w:t>指标分值</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分，得</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本项目对完善宽城区医疗机构设置规划和宽城区医疗发展具有极大的推动作用，对促进宽城区的社会事业发展极为有利。本项目有较好的社会效益。加强公共医疗卫生基础设施建设，有利于满足人们对医疗保健、住院环境的更高要求，改善医疗环境和布局，发展宽城区医疗卫生事业；能提高宽城区人民群众基本医疗保健满足程度，有利于推进宽城区新型农村合作医疗试点工作。同时，能有效促进宽城区医疗卫生服务体系建设，完善服务功能、增强服务能力、提高服务质量、降低药品价格，使广大群众的疾病能及时得到医治，有地方看病，方便看病，而且价格实惠。</w:t>
      </w:r>
      <w:bookmarkStart w:id="106" w:name="_Toc24647"/>
      <w:bookmarkStart w:id="107" w:name="_Toc25589"/>
    </w:p>
    <w:p w14:paraId="0F56A397">
      <w:pPr>
        <w:pStyle w:val="4"/>
        <w:pageBreakBefore w:val="0"/>
        <w:wordWrap/>
        <w:overflowPunct/>
        <w:topLinePunct w:val="0"/>
        <w:bidi w:val="0"/>
        <w:ind w:firstLine="560" w:firstLineChars="200"/>
        <w:jc w:val="both"/>
        <w:textAlignment w:val="baseline"/>
        <w:rPr>
          <w:rFonts w:hint="eastAsia" w:ascii="宋体" w:hAnsi="宋体"/>
          <w:sz w:val="28"/>
          <w:szCs w:val="28"/>
          <w:lang w:eastAsia="zh-CN"/>
        </w:rPr>
      </w:pPr>
      <w:bookmarkStart w:id="108" w:name="_Toc845"/>
      <w:r>
        <w:rPr>
          <w:rFonts w:hint="eastAsia" w:ascii="宋体" w:hAnsi="宋体"/>
          <w:sz w:val="28"/>
          <w:szCs w:val="28"/>
          <w:lang w:val="en-US" w:eastAsia="zh-CN"/>
        </w:rPr>
        <w:t>2.经济效益</w:t>
      </w:r>
      <w:bookmarkEnd w:id="106"/>
      <w:r>
        <w:rPr>
          <w:rFonts w:hint="eastAsia" w:ascii="宋体" w:hAnsi="宋体"/>
          <w:sz w:val="28"/>
          <w:szCs w:val="28"/>
          <w:lang w:val="en-US" w:eastAsia="zh-CN"/>
        </w:rPr>
        <w:t>（满分4分，得分4分）</w:t>
      </w:r>
      <w:bookmarkEnd w:id="107"/>
      <w:bookmarkEnd w:id="108"/>
    </w:p>
    <w:p w14:paraId="74319890">
      <w:pPr>
        <w:pStyle w:val="5"/>
        <w:pageBreakBefore w:val="0"/>
        <w:wordWrap/>
        <w:overflowPunct/>
        <w:topLinePunct w:val="0"/>
        <w:bidi w:val="0"/>
        <w:ind w:firstLine="560" w:firstLineChars="200"/>
        <w:jc w:val="both"/>
        <w:textAlignment w:val="baseline"/>
        <w:rPr>
          <w:rFonts w:hint="eastAsia" w:ascii="宋体" w:hAnsi="宋体"/>
          <w:sz w:val="28"/>
          <w:szCs w:val="28"/>
          <w:lang w:val="en-US" w:eastAsia="zh-CN"/>
        </w:rPr>
      </w:pPr>
      <w:r>
        <w:rPr>
          <w:rFonts w:hint="eastAsia" w:ascii="宋体" w:hAnsi="宋体"/>
          <w:sz w:val="28"/>
          <w:szCs w:val="28"/>
          <w:lang w:val="en-US" w:eastAsia="zh-CN"/>
        </w:rPr>
        <w:t>经济带动</w:t>
      </w:r>
    </w:p>
    <w:p w14:paraId="09D18E6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584" w:firstLineChars="200"/>
        <w:jc w:val="both"/>
        <w:textAlignment w:val="baseline"/>
        <w:rPr>
          <w:rFonts w:hint="eastAsia" w:ascii="宋体" w:hAnsi="宋体" w:eastAsia="仿宋_GB2312" w:cs="仿宋_GB2312"/>
          <w:i w:val="0"/>
          <w:iCs w:val="0"/>
          <w:caps w:val="0"/>
          <w:color w:val="333333"/>
          <w:spacing w:val="6"/>
          <w:sz w:val="28"/>
          <w:szCs w:val="28"/>
          <w:shd w:val="clear" w:fill="FFFFFF"/>
          <w:lang w:eastAsia="zh-CN"/>
        </w:rPr>
      </w:pPr>
      <w:r>
        <w:rPr>
          <w:rFonts w:hint="eastAsia" w:ascii="宋体" w:hAnsi="宋体" w:eastAsia="仿宋_GB2312" w:cs="仿宋_GB2312"/>
          <w:i w:val="0"/>
          <w:iCs w:val="0"/>
          <w:caps w:val="0"/>
          <w:color w:val="333333"/>
          <w:spacing w:val="6"/>
          <w:sz w:val="28"/>
          <w:szCs w:val="28"/>
          <w:shd w:val="clear" w:fill="FFFFFF"/>
        </w:rPr>
        <w:t>指标分值</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分，得</w:t>
      </w:r>
      <w:r>
        <w:rPr>
          <w:rFonts w:hint="eastAsia" w:ascii="宋体" w:hAnsi="宋体"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w:t>
      </w:r>
      <w:r>
        <w:rPr>
          <w:rFonts w:hint="eastAsia" w:ascii="宋体" w:hAnsi="宋体" w:cs="仿宋_GB2312"/>
          <w:i w:val="0"/>
          <w:iCs w:val="0"/>
          <w:caps w:val="0"/>
          <w:color w:val="333333"/>
          <w:spacing w:val="6"/>
          <w:sz w:val="28"/>
          <w:szCs w:val="28"/>
          <w:shd w:val="clear" w:fill="FFFFFF"/>
          <w:lang w:val="en-US" w:eastAsia="zh-CN"/>
        </w:rPr>
        <w:t>根据</w:t>
      </w:r>
      <w:r>
        <w:rPr>
          <w:rFonts w:hint="eastAsia" w:ascii="宋体" w:hAnsi="宋体" w:cs="仿宋_GB2312"/>
          <w:sz w:val="28"/>
          <w:szCs w:val="28"/>
          <w:lang w:val="en-US" w:eastAsia="zh-CN"/>
        </w:rPr>
        <w:t>收益与融资平衡方案，</w:t>
      </w:r>
      <w:r>
        <w:rPr>
          <w:rFonts w:hint="eastAsia" w:ascii="宋体" w:hAnsi="宋体" w:eastAsia="仿宋_GB2312" w:cs="仿宋_GB2312"/>
          <w:sz w:val="28"/>
          <w:szCs w:val="28"/>
        </w:rPr>
        <w:t>本项目收入主要由医院收取的住院收入、门诊收入、财政补贴收入等组成。项目预测期实现门诊收入</w:t>
      </w:r>
      <w:r>
        <w:rPr>
          <w:rFonts w:hint="eastAsia" w:ascii="宋体" w:hAnsi="宋体" w:cs="仿宋_GB2312"/>
          <w:sz w:val="28"/>
          <w:szCs w:val="28"/>
          <w:lang w:val="en-US" w:eastAsia="zh-CN"/>
        </w:rPr>
        <w:t>118,738.73</w:t>
      </w:r>
      <w:r>
        <w:rPr>
          <w:rFonts w:hint="eastAsia" w:ascii="宋体" w:hAnsi="宋体" w:eastAsia="仿宋_GB2312" w:cs="仿宋_GB2312"/>
          <w:sz w:val="28"/>
          <w:szCs w:val="28"/>
        </w:rPr>
        <w:t>万元、住院收入</w:t>
      </w:r>
      <w:r>
        <w:rPr>
          <w:rFonts w:hint="eastAsia" w:ascii="宋体" w:hAnsi="宋体" w:cs="仿宋_GB2312"/>
          <w:sz w:val="28"/>
          <w:szCs w:val="28"/>
          <w:lang w:val="en-US" w:eastAsia="zh-CN"/>
        </w:rPr>
        <w:t>46,002.79</w:t>
      </w:r>
      <w:r>
        <w:rPr>
          <w:rFonts w:hint="eastAsia" w:ascii="宋体" w:hAnsi="宋体" w:eastAsia="仿宋_GB2312" w:cs="仿宋_GB2312"/>
          <w:sz w:val="28"/>
          <w:szCs w:val="28"/>
        </w:rPr>
        <w:t>万元，</w:t>
      </w:r>
      <w:r>
        <w:rPr>
          <w:rFonts w:hint="eastAsia" w:ascii="宋体" w:hAnsi="宋体" w:cs="仿宋_GB2312"/>
          <w:sz w:val="28"/>
          <w:szCs w:val="28"/>
          <w:lang w:val="en-US" w:eastAsia="zh-CN"/>
        </w:rPr>
        <w:t>财</w:t>
      </w:r>
      <w:r>
        <w:rPr>
          <w:rFonts w:hint="eastAsia" w:ascii="宋体" w:hAnsi="宋体" w:cs="仿宋_GB2312"/>
          <w:sz w:val="28"/>
          <w:szCs w:val="28"/>
          <w:highlight w:val="none"/>
          <w:lang w:val="en-US" w:eastAsia="zh-CN"/>
        </w:rPr>
        <w:t>政补助收入91,233.33万元，</w:t>
      </w:r>
      <w:r>
        <w:rPr>
          <w:rFonts w:hint="eastAsia" w:ascii="宋体" w:hAnsi="宋体" w:eastAsia="仿宋_GB2312" w:cs="仿宋_GB2312"/>
          <w:sz w:val="28"/>
          <w:szCs w:val="28"/>
          <w:highlight w:val="none"/>
        </w:rPr>
        <w:t>合计总收入</w:t>
      </w:r>
      <w:r>
        <w:rPr>
          <w:rFonts w:hint="eastAsia" w:ascii="宋体" w:hAnsi="宋体" w:cs="仿宋_GB2312"/>
          <w:sz w:val="28"/>
          <w:szCs w:val="28"/>
          <w:highlight w:val="none"/>
          <w:lang w:val="en-US" w:eastAsia="zh-CN"/>
        </w:rPr>
        <w:t>255,974.85</w:t>
      </w:r>
      <w:r>
        <w:rPr>
          <w:rFonts w:hint="eastAsia" w:ascii="宋体" w:hAnsi="宋体" w:eastAsia="仿宋_GB2312" w:cs="仿宋_GB2312"/>
          <w:sz w:val="28"/>
          <w:szCs w:val="28"/>
          <w:highlight w:val="none"/>
        </w:rPr>
        <w:t>万元；运营成本合计</w:t>
      </w:r>
      <w:r>
        <w:rPr>
          <w:rFonts w:hint="eastAsia" w:ascii="宋体" w:hAnsi="宋体" w:cs="仿宋_GB2312"/>
          <w:sz w:val="28"/>
          <w:szCs w:val="28"/>
          <w:highlight w:val="none"/>
          <w:lang w:val="en-US" w:eastAsia="zh-CN"/>
        </w:rPr>
        <w:t>176,725.94</w:t>
      </w:r>
      <w:r>
        <w:rPr>
          <w:rFonts w:hint="eastAsia" w:ascii="宋体" w:hAnsi="宋体" w:eastAsia="仿宋_GB2312" w:cs="仿宋_GB2312"/>
          <w:sz w:val="28"/>
          <w:szCs w:val="28"/>
          <w:highlight w:val="none"/>
        </w:rPr>
        <w:t>万元</w:t>
      </w:r>
      <w:r>
        <w:rPr>
          <w:rFonts w:hint="eastAsia" w:ascii="宋体" w:hAnsi="宋体" w:cs="仿宋_GB2312"/>
          <w:sz w:val="28"/>
          <w:szCs w:val="28"/>
          <w:highlight w:val="none"/>
          <w:lang w:eastAsia="zh-CN"/>
        </w:rPr>
        <w:t>，</w:t>
      </w:r>
      <w:r>
        <w:rPr>
          <w:rFonts w:hint="eastAsia" w:ascii="宋体" w:hAnsi="宋体" w:eastAsia="仿宋_GB2312" w:cs="仿宋_GB2312"/>
          <w:sz w:val="28"/>
          <w:szCs w:val="28"/>
          <w:highlight w:val="none"/>
        </w:rPr>
        <w:t>项目收益</w:t>
      </w:r>
      <w:r>
        <w:rPr>
          <w:rFonts w:hint="eastAsia" w:ascii="宋体" w:hAnsi="宋体" w:cs="仿宋_GB2312"/>
          <w:sz w:val="28"/>
          <w:szCs w:val="28"/>
          <w:highlight w:val="none"/>
          <w:lang w:val="en-US" w:eastAsia="zh-CN"/>
        </w:rPr>
        <w:t>79,248.91</w:t>
      </w:r>
      <w:r>
        <w:rPr>
          <w:rFonts w:hint="eastAsia" w:ascii="宋体" w:hAnsi="宋体" w:eastAsia="仿宋_GB2312" w:cs="仿宋_GB2312"/>
          <w:sz w:val="28"/>
          <w:szCs w:val="28"/>
          <w:highlight w:val="none"/>
        </w:rPr>
        <w:t>万元</w:t>
      </w:r>
      <w:r>
        <w:rPr>
          <w:rFonts w:hint="eastAsia" w:ascii="宋体" w:hAnsi="宋体" w:cs="仿宋_GB2312"/>
          <w:sz w:val="28"/>
          <w:szCs w:val="28"/>
          <w:highlight w:val="none"/>
          <w:lang w:eastAsia="zh-CN"/>
        </w:rPr>
        <w:t>，</w:t>
      </w:r>
      <w:r>
        <w:rPr>
          <w:rFonts w:hint="eastAsia" w:ascii="宋体" w:hAnsi="宋体" w:cs="仿宋_GB2312"/>
          <w:sz w:val="28"/>
          <w:szCs w:val="28"/>
          <w:highlight w:val="none"/>
          <w:lang w:val="en-US" w:eastAsia="zh-CN"/>
        </w:rPr>
        <w:t>对当地经济有带动作用。目前本项目进入试运行阶段，</w:t>
      </w:r>
      <w:r>
        <w:rPr>
          <w:rFonts w:hint="eastAsia" w:ascii="宋体" w:hAnsi="宋体" w:cs="仿宋_GB2312"/>
          <w:sz w:val="28"/>
          <w:szCs w:val="28"/>
          <w:highlight w:val="none"/>
          <w:lang w:eastAsia="zh-CN"/>
        </w:rPr>
        <w:t>吸引了住宿餐饮等配套产业聚集，</w:t>
      </w:r>
      <w:r>
        <w:rPr>
          <w:rFonts w:hint="eastAsia" w:ascii="宋体" w:hAnsi="宋体" w:cs="仿宋_GB2312"/>
          <w:sz w:val="28"/>
          <w:szCs w:val="28"/>
          <w:highlight w:val="none"/>
          <w:lang w:val="en-US" w:eastAsia="zh-CN"/>
        </w:rPr>
        <w:t>对周边群众就业具有带动作用，对本区域的经济起到带动作用</w:t>
      </w:r>
      <w:r>
        <w:rPr>
          <w:rFonts w:hint="eastAsia" w:ascii="宋体" w:hAnsi="宋体" w:cs="仿宋_GB2312"/>
          <w:sz w:val="28"/>
          <w:szCs w:val="28"/>
          <w:highlight w:val="none"/>
          <w:lang w:eastAsia="zh-CN"/>
        </w:rPr>
        <w:t>。</w:t>
      </w:r>
    </w:p>
    <w:p w14:paraId="14B7ABF9">
      <w:pPr>
        <w:pStyle w:val="4"/>
        <w:pageBreakBefore w:val="0"/>
        <w:wordWrap/>
        <w:overflowPunct/>
        <w:topLinePunct w:val="0"/>
        <w:bidi w:val="0"/>
        <w:ind w:firstLine="560" w:firstLineChars="200"/>
        <w:jc w:val="both"/>
        <w:textAlignment w:val="baseline"/>
        <w:rPr>
          <w:rFonts w:hint="eastAsia" w:ascii="宋体" w:hAnsi="宋体"/>
          <w:sz w:val="28"/>
          <w:szCs w:val="28"/>
          <w:lang w:val="en-US" w:eastAsia="zh-CN"/>
        </w:rPr>
      </w:pPr>
      <w:bookmarkStart w:id="109" w:name="_Toc3533"/>
      <w:bookmarkStart w:id="110" w:name="_Toc14173"/>
      <w:bookmarkStart w:id="111" w:name="_Toc3803"/>
      <w:r>
        <w:rPr>
          <w:rFonts w:hint="eastAsia" w:ascii="宋体" w:hAnsi="宋体"/>
          <w:sz w:val="28"/>
          <w:szCs w:val="28"/>
          <w:lang w:val="en-US" w:eastAsia="zh-CN"/>
        </w:rPr>
        <w:t>3.生态效益</w:t>
      </w:r>
      <w:bookmarkEnd w:id="109"/>
      <w:r>
        <w:rPr>
          <w:rFonts w:hint="eastAsia" w:ascii="宋体" w:hAnsi="宋体"/>
          <w:sz w:val="28"/>
          <w:szCs w:val="28"/>
          <w:lang w:val="en-US" w:eastAsia="zh-CN"/>
        </w:rPr>
        <w:t>（满分4分，得分4分）</w:t>
      </w:r>
      <w:bookmarkEnd w:id="110"/>
      <w:bookmarkEnd w:id="111"/>
    </w:p>
    <w:p w14:paraId="4D7756A1">
      <w:pPr>
        <w:pStyle w:val="5"/>
        <w:pageBreakBefore w:val="0"/>
        <w:wordWrap/>
        <w:overflowPunct/>
        <w:topLinePunct w:val="0"/>
        <w:bidi w:val="0"/>
        <w:ind w:firstLine="560" w:firstLineChars="200"/>
        <w:jc w:val="both"/>
        <w:textAlignment w:val="baseline"/>
        <w:rPr>
          <w:rFonts w:hint="eastAsia" w:ascii="宋体" w:hAnsi="宋体"/>
          <w:sz w:val="28"/>
          <w:szCs w:val="28"/>
          <w:lang w:val="en-US" w:eastAsia="zh-CN"/>
        </w:rPr>
      </w:pPr>
      <w:r>
        <w:rPr>
          <w:rFonts w:hint="eastAsia" w:ascii="宋体" w:hAnsi="宋体"/>
          <w:sz w:val="28"/>
          <w:szCs w:val="28"/>
          <w:lang w:val="en-US" w:eastAsia="zh-CN"/>
        </w:rPr>
        <w:t>生态环保</w:t>
      </w:r>
    </w:p>
    <w:p w14:paraId="6F52648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sz w:val="28"/>
          <w:szCs w:val="28"/>
          <w:lang w:val="en-US" w:eastAsia="zh-CN"/>
        </w:rPr>
      </w:pPr>
      <w:r>
        <w:rPr>
          <w:rFonts w:hint="eastAsia" w:ascii="宋体" w:hAnsi="宋体" w:eastAsia="仿宋_GB2312" w:cs="仿宋_GB2312"/>
          <w:i w:val="0"/>
          <w:iCs w:val="0"/>
          <w:caps w:val="0"/>
          <w:color w:val="333333"/>
          <w:spacing w:val="6"/>
          <w:sz w:val="28"/>
          <w:szCs w:val="28"/>
          <w:shd w:val="clear" w:fill="FFFFFF"/>
        </w:rPr>
        <w:t>指标分值</w:t>
      </w:r>
      <w:r>
        <w:rPr>
          <w:rFonts w:hint="eastAsia" w:ascii="宋体" w:hAnsi="宋体" w:eastAsia="仿宋_GB2312"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分，得</w:t>
      </w:r>
      <w:r>
        <w:rPr>
          <w:rFonts w:hint="eastAsia" w:ascii="宋体" w:hAnsi="宋体" w:eastAsia="仿宋_GB2312" w:cs="仿宋_GB2312"/>
          <w:i w:val="0"/>
          <w:iCs w:val="0"/>
          <w:caps w:val="0"/>
          <w:color w:val="333333"/>
          <w:spacing w:val="6"/>
          <w:sz w:val="28"/>
          <w:szCs w:val="28"/>
          <w:shd w:val="clear" w:fill="FFFFFF"/>
          <w:lang w:val="en-US" w:eastAsia="zh-CN"/>
        </w:rPr>
        <w:t>4</w:t>
      </w:r>
      <w:r>
        <w:rPr>
          <w:rFonts w:hint="eastAsia" w:ascii="宋体" w:hAnsi="宋体" w:eastAsia="仿宋_GB2312" w:cs="仿宋_GB2312"/>
          <w:i w:val="0"/>
          <w:iCs w:val="0"/>
          <w:caps w:val="0"/>
          <w:color w:val="333333"/>
          <w:spacing w:val="6"/>
          <w:sz w:val="28"/>
          <w:szCs w:val="28"/>
          <w:shd w:val="clear" w:fill="FFFFFF"/>
        </w:rPr>
        <w:t>分。</w:t>
      </w:r>
      <w:r>
        <w:rPr>
          <w:rFonts w:hint="eastAsia" w:ascii="宋体" w:hAnsi="宋体" w:eastAsia="仿宋_GB2312" w:cs="仿宋_GB2312"/>
          <w:sz w:val="28"/>
          <w:szCs w:val="28"/>
          <w:lang w:val="en-US" w:eastAsia="zh-CN"/>
        </w:rPr>
        <w:t>本项目工程建设过程中，按照环保法规、标准进行环境保护和水土保护，达到环境影响评价要求，未发生环保处罚情况。</w:t>
      </w:r>
      <w:bookmarkStart w:id="112" w:name="_Toc18986"/>
      <w:bookmarkStart w:id="113" w:name="_Toc6041"/>
      <w:bookmarkStart w:id="114" w:name="_Toc24976"/>
    </w:p>
    <w:p w14:paraId="4D60255C">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baseline"/>
        <w:rPr>
          <w:rFonts w:hint="eastAsia" w:ascii="宋体" w:hAnsi="宋体" w:eastAsia="仿宋_GB2312" w:cs="Arial"/>
          <w:snapToGrid w:val="0"/>
          <w:color w:val="000000"/>
          <w:kern w:val="0"/>
          <w:sz w:val="28"/>
          <w:szCs w:val="28"/>
          <w:lang w:val="en-US" w:eastAsia="zh-CN"/>
        </w:rPr>
      </w:pPr>
      <w:r>
        <w:rPr>
          <w:rFonts w:hint="eastAsia" w:ascii="宋体" w:hAnsi="宋体" w:eastAsia="仿宋_GB2312" w:cs="Arial"/>
          <w:snapToGrid w:val="0"/>
          <w:color w:val="000000"/>
          <w:kern w:val="0"/>
          <w:sz w:val="28"/>
          <w:szCs w:val="28"/>
          <w:lang w:val="en-US" w:eastAsia="zh-CN"/>
        </w:rPr>
        <w:t>可持续影响</w:t>
      </w:r>
      <w:bookmarkEnd w:id="112"/>
      <w:r>
        <w:rPr>
          <w:rFonts w:hint="eastAsia" w:ascii="宋体" w:hAnsi="宋体" w:eastAsia="仿宋_GB2312" w:cs="Arial"/>
          <w:snapToGrid w:val="0"/>
          <w:color w:val="000000"/>
          <w:kern w:val="0"/>
          <w:sz w:val="28"/>
          <w:szCs w:val="28"/>
          <w:lang w:val="en-US" w:eastAsia="zh-CN"/>
        </w:rPr>
        <w:t>（满分4分，得分4分）</w:t>
      </w:r>
      <w:bookmarkEnd w:id="113"/>
      <w:bookmarkEnd w:id="114"/>
    </w:p>
    <w:p w14:paraId="1F8C0452">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baseline"/>
        <w:rPr>
          <w:rFonts w:hint="eastAsia" w:ascii="宋体" w:hAnsi="宋体" w:eastAsia="仿宋_GB2312" w:cs="Arial"/>
          <w:snapToGrid w:val="0"/>
          <w:color w:val="000000"/>
          <w:kern w:val="0"/>
          <w:sz w:val="28"/>
          <w:szCs w:val="28"/>
          <w:lang w:val="en-US" w:eastAsia="zh-CN"/>
        </w:rPr>
      </w:pPr>
      <w:r>
        <w:rPr>
          <w:rFonts w:hint="eastAsia" w:ascii="宋体" w:hAnsi="宋体" w:eastAsia="仿宋_GB2312" w:cs="Arial"/>
          <w:snapToGrid w:val="0"/>
          <w:color w:val="000000"/>
          <w:kern w:val="0"/>
          <w:sz w:val="28"/>
          <w:szCs w:val="28"/>
          <w:lang w:val="en-US" w:eastAsia="zh-CN"/>
        </w:rPr>
        <w:t>可持续运营能力</w:t>
      </w:r>
    </w:p>
    <w:p w14:paraId="3161EDC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color w:val="333333"/>
          <w:spacing w:val="6"/>
          <w:sz w:val="28"/>
          <w:szCs w:val="28"/>
          <w:highlight w:val="none"/>
          <w:shd w:val="clear" w:fill="FFFFFF"/>
          <w:lang w:val="en-US" w:eastAsia="zh-CN"/>
        </w:rPr>
      </w:pPr>
      <w:r>
        <w:rPr>
          <w:rFonts w:hint="eastAsia" w:ascii="宋体" w:hAnsi="宋体" w:eastAsia="仿宋_GB2312" w:cs="仿宋_GB2312"/>
          <w:i w:val="0"/>
          <w:iCs w:val="0"/>
          <w:caps w:val="0"/>
          <w:color w:val="333333"/>
          <w:spacing w:val="6"/>
          <w:sz w:val="28"/>
          <w:szCs w:val="28"/>
          <w:highlight w:val="none"/>
          <w:shd w:val="clear" w:fill="FFFFFF"/>
        </w:rPr>
        <w:t>指标分值</w:t>
      </w:r>
      <w:r>
        <w:rPr>
          <w:rFonts w:hint="eastAsia" w:ascii="宋体" w:hAnsi="宋体" w:eastAsia="仿宋_GB2312"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rPr>
        <w:t>分，得</w:t>
      </w:r>
      <w:r>
        <w:rPr>
          <w:rFonts w:hint="eastAsia" w:ascii="宋体" w:hAnsi="宋体" w:cs="仿宋_GB2312"/>
          <w:i w:val="0"/>
          <w:iCs w:val="0"/>
          <w:caps w:val="0"/>
          <w:color w:val="333333"/>
          <w:spacing w:val="6"/>
          <w:sz w:val="28"/>
          <w:szCs w:val="28"/>
          <w:highlight w:val="none"/>
          <w:shd w:val="clear" w:fill="FFFFFF"/>
          <w:lang w:val="en-US" w:eastAsia="zh-CN"/>
        </w:rPr>
        <w:t>4</w:t>
      </w:r>
      <w:r>
        <w:rPr>
          <w:rFonts w:hint="eastAsia" w:ascii="宋体" w:hAnsi="宋体" w:eastAsia="仿宋_GB2312" w:cs="仿宋_GB2312"/>
          <w:i w:val="0"/>
          <w:iCs w:val="0"/>
          <w:caps w:val="0"/>
          <w:color w:val="333333"/>
          <w:spacing w:val="6"/>
          <w:sz w:val="28"/>
          <w:szCs w:val="28"/>
          <w:highlight w:val="none"/>
          <w:shd w:val="clear" w:fill="FFFFFF"/>
        </w:rPr>
        <w:t>分。</w:t>
      </w:r>
      <w:r>
        <w:rPr>
          <w:rFonts w:hint="eastAsia" w:ascii="宋体" w:hAnsi="宋体" w:cs="仿宋_GB2312"/>
          <w:i w:val="0"/>
          <w:iCs w:val="0"/>
          <w:caps w:val="0"/>
          <w:color w:val="333333"/>
          <w:spacing w:val="6"/>
          <w:sz w:val="28"/>
          <w:szCs w:val="28"/>
          <w:highlight w:val="none"/>
          <w:shd w:val="clear" w:fill="FFFFFF"/>
          <w:lang w:val="en-US" w:eastAsia="zh-CN"/>
        </w:rPr>
        <w:t>宽城区医院为公益二类差额补助二级综合医院，执行政府会计制度。开办资金35,249万元，截至2025年末总资产44,136.80万元，总负债8,887.05万元，净资产35,249.75万元，资产负债率为20.14%，整体资产规模稳健，同时宽城区医院迁址后就医环境与医疗设施实现全面升级，发展多元化诊疗方式，借力专家资源引流、外出义诊拓宽辐射面、常态化下沉基层服务、新增专科补齐收入短板等，均增强医院的可持续运营能力。</w:t>
      </w:r>
    </w:p>
    <w:p w14:paraId="797E77A3">
      <w:pPr>
        <w:pStyle w:val="4"/>
        <w:pageBreakBefore w:val="0"/>
        <w:wordWrap/>
        <w:overflowPunct/>
        <w:topLinePunct w:val="0"/>
        <w:bidi w:val="0"/>
        <w:spacing w:line="360" w:lineRule="auto"/>
        <w:ind w:firstLine="560" w:firstLineChars="200"/>
        <w:jc w:val="both"/>
        <w:textAlignment w:val="baseline"/>
        <w:rPr>
          <w:rFonts w:hint="eastAsia" w:ascii="宋体" w:hAnsi="宋体" w:eastAsia="仿宋_GB2312"/>
          <w:sz w:val="28"/>
          <w:szCs w:val="28"/>
          <w:lang w:eastAsia="zh-CN"/>
        </w:rPr>
      </w:pPr>
      <w:bookmarkStart w:id="115" w:name="_Toc28343"/>
      <w:bookmarkStart w:id="116" w:name="_Toc13822"/>
      <w:bookmarkStart w:id="117" w:name="_Toc2110"/>
      <w:r>
        <w:rPr>
          <w:rFonts w:hint="eastAsia" w:ascii="宋体" w:hAnsi="宋体"/>
          <w:sz w:val="28"/>
          <w:szCs w:val="28"/>
          <w:lang w:val="en-US" w:eastAsia="zh-CN"/>
        </w:rPr>
        <w:t>5</w:t>
      </w:r>
      <w:r>
        <w:rPr>
          <w:rFonts w:hint="eastAsia" w:ascii="宋体" w:hAnsi="宋体"/>
          <w:sz w:val="28"/>
          <w:szCs w:val="28"/>
        </w:rPr>
        <w:t>.满意度</w:t>
      </w:r>
      <w:bookmarkEnd w:id="115"/>
      <w:r>
        <w:rPr>
          <w:rFonts w:hint="eastAsia" w:ascii="宋体" w:hAnsi="宋体"/>
          <w:sz w:val="28"/>
          <w:szCs w:val="28"/>
          <w:lang w:eastAsia="zh-CN"/>
        </w:rPr>
        <w:t>（</w:t>
      </w:r>
      <w:r>
        <w:rPr>
          <w:rFonts w:hint="eastAsia" w:ascii="宋体" w:hAnsi="宋体"/>
          <w:sz w:val="28"/>
          <w:szCs w:val="28"/>
          <w:lang w:val="en-US" w:eastAsia="zh-CN"/>
        </w:rPr>
        <w:t>满分4分，得分4分</w:t>
      </w:r>
      <w:r>
        <w:rPr>
          <w:rFonts w:hint="eastAsia" w:ascii="宋体" w:hAnsi="宋体"/>
          <w:sz w:val="28"/>
          <w:szCs w:val="28"/>
          <w:lang w:eastAsia="zh-CN"/>
        </w:rPr>
        <w:t>）</w:t>
      </w:r>
      <w:bookmarkEnd w:id="116"/>
      <w:bookmarkEnd w:id="117"/>
    </w:p>
    <w:p w14:paraId="1D516E7C">
      <w:pPr>
        <w:pStyle w:val="5"/>
        <w:pageBreakBefore w:val="0"/>
        <w:wordWrap/>
        <w:overflowPunct/>
        <w:topLinePunct w:val="0"/>
        <w:bidi w:val="0"/>
        <w:spacing w:line="360" w:lineRule="auto"/>
        <w:ind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受益对象满意度</w:t>
      </w:r>
    </w:p>
    <w:p w14:paraId="3FE782C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指标分值4分，得4分。本项目属地政府对建设进度、质量比较满意。专项债券项目施工过程中，各参建单位对工程款按合同拨付程度满意。社会公众对项目的建立也比较</w:t>
      </w:r>
      <w:r>
        <w:rPr>
          <w:rFonts w:hint="eastAsia" w:ascii="宋体" w:hAnsi="宋体" w:cs="仿宋_GB2312"/>
          <w:i w:val="0"/>
          <w:iCs w:val="0"/>
          <w:caps w:val="0"/>
          <w:snapToGrid w:val="0"/>
          <w:color w:val="333333"/>
          <w:spacing w:val="6"/>
          <w:kern w:val="0"/>
          <w:sz w:val="28"/>
          <w:szCs w:val="28"/>
          <w:shd w:val="clear" w:fill="FFFFFF"/>
          <w:lang w:val="en-US" w:eastAsia="zh-CN" w:bidi="ar"/>
        </w:rPr>
        <w:t>认同</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w:t>
      </w:r>
      <w:r>
        <w:rPr>
          <w:rFonts w:hint="eastAsia" w:ascii="宋体" w:hAnsi="宋体" w:cs="仿宋_GB2312"/>
          <w:i w:val="0"/>
          <w:iCs w:val="0"/>
          <w:caps w:val="0"/>
          <w:snapToGrid w:val="0"/>
          <w:color w:val="333333"/>
          <w:spacing w:val="6"/>
          <w:kern w:val="0"/>
          <w:sz w:val="28"/>
          <w:szCs w:val="28"/>
          <w:shd w:val="clear" w:fill="FFFFFF"/>
          <w:lang w:val="en-US" w:eastAsia="zh-CN" w:bidi="ar"/>
        </w:rPr>
        <w:t>提高了偏远地区</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群众就医</w:t>
      </w:r>
      <w:r>
        <w:rPr>
          <w:rFonts w:hint="eastAsia" w:ascii="宋体" w:hAnsi="宋体" w:cs="仿宋_GB2312"/>
          <w:i w:val="0"/>
          <w:iCs w:val="0"/>
          <w:caps w:val="0"/>
          <w:snapToGrid w:val="0"/>
          <w:color w:val="333333"/>
          <w:spacing w:val="6"/>
          <w:kern w:val="0"/>
          <w:sz w:val="28"/>
          <w:szCs w:val="28"/>
          <w:shd w:val="clear" w:fill="FFFFFF"/>
          <w:lang w:val="en-US" w:eastAsia="zh-CN" w:bidi="ar"/>
        </w:rPr>
        <w:t>的便利度</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，大大提高了就医效率。</w:t>
      </w:r>
      <w:bookmarkStart w:id="118" w:name="_Toc31508"/>
    </w:p>
    <w:p w14:paraId="4EFFA14B">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both"/>
        <w:textAlignment w:val="baseline"/>
        <w:rPr>
          <w:rFonts w:hint="eastAsia" w:ascii="宋体" w:hAnsi="宋体"/>
          <w:b/>
          <w:bCs w:val="0"/>
          <w:sz w:val="28"/>
          <w:szCs w:val="28"/>
        </w:rPr>
      </w:pPr>
      <w:r>
        <w:rPr>
          <w:rFonts w:hint="eastAsia" w:ascii="宋体" w:hAnsi="宋体" w:eastAsia="仿宋_GB2312" w:cs="Arial"/>
          <w:b/>
          <w:bCs w:val="0"/>
          <w:snapToGrid w:val="0"/>
          <w:color w:val="000000"/>
          <w:kern w:val="0"/>
          <w:sz w:val="28"/>
          <w:szCs w:val="28"/>
          <w:lang w:val="en-US" w:eastAsia="zh-CN" w:bidi="ar"/>
        </w:rPr>
        <w:t>五、</w:t>
      </w:r>
      <w:r>
        <w:rPr>
          <w:rFonts w:hint="eastAsia" w:ascii="宋体" w:hAnsi="宋体"/>
          <w:b/>
          <w:bCs w:val="0"/>
          <w:sz w:val="28"/>
          <w:szCs w:val="28"/>
        </w:rPr>
        <w:t>存在的问题及原因分析</w:t>
      </w:r>
      <w:bookmarkEnd w:id="118"/>
      <w:bookmarkStart w:id="119" w:name="_Toc10726"/>
    </w:p>
    <w:p w14:paraId="3D662838">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both"/>
        <w:textAlignment w:val="baseline"/>
        <w:rPr>
          <w:rFonts w:hint="eastAsia" w:ascii="宋体" w:hAnsi="宋体"/>
          <w:sz w:val="28"/>
          <w:szCs w:val="28"/>
          <w:lang w:val="en-US" w:eastAsia="zh-CN"/>
        </w:rPr>
      </w:pPr>
      <w:r>
        <w:rPr>
          <w:rFonts w:hint="eastAsia" w:ascii="宋体" w:hAnsi="宋体"/>
          <w:b/>
          <w:bCs/>
          <w:sz w:val="28"/>
          <w:szCs w:val="28"/>
          <w:lang w:eastAsia="zh-CN"/>
        </w:rPr>
        <w:t>（</w:t>
      </w:r>
      <w:r>
        <w:rPr>
          <w:rFonts w:hint="eastAsia" w:ascii="宋体" w:hAnsi="宋体"/>
          <w:b/>
          <w:bCs/>
          <w:sz w:val="28"/>
          <w:szCs w:val="28"/>
          <w:lang w:val="en-US" w:eastAsia="zh-CN"/>
        </w:rPr>
        <w:t>一</w:t>
      </w:r>
      <w:r>
        <w:rPr>
          <w:rFonts w:hint="eastAsia" w:ascii="宋体" w:hAnsi="宋体"/>
          <w:b/>
          <w:bCs/>
          <w:sz w:val="28"/>
          <w:szCs w:val="28"/>
          <w:lang w:eastAsia="zh-CN"/>
        </w:rPr>
        <w:t>）</w:t>
      </w:r>
      <w:r>
        <w:rPr>
          <w:rFonts w:hint="eastAsia" w:ascii="宋体" w:hAnsi="宋体"/>
          <w:b/>
          <w:bCs/>
          <w:sz w:val="28"/>
          <w:szCs w:val="28"/>
          <w:lang w:val="en-US" w:eastAsia="zh-CN"/>
        </w:rPr>
        <w:t>专项债券资金管理制度不够细化</w:t>
      </w:r>
      <w:bookmarkEnd w:id="119"/>
      <w:bookmarkStart w:id="120" w:name="_bookmark16"/>
      <w:bookmarkEnd w:id="120"/>
      <w:bookmarkStart w:id="121" w:name="_bookmark26"/>
      <w:bookmarkEnd w:id="121"/>
    </w:p>
    <w:p w14:paraId="5EAF3405">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84" w:firstLineChars="200"/>
        <w:jc w:val="both"/>
        <w:textAlignment w:val="baseline"/>
        <w:rPr>
          <w:rFonts w:hint="default" w:ascii="宋体" w:hAnsi="宋体" w:eastAsia="仿宋_GB2312" w:cs="仿宋_GB2312"/>
          <w:i w:val="0"/>
          <w:iCs w:val="0"/>
          <w:caps w:val="0"/>
          <w:snapToGrid w:val="0"/>
          <w:color w:val="333333"/>
          <w:spacing w:val="6"/>
          <w:kern w:val="0"/>
          <w:sz w:val="28"/>
          <w:szCs w:val="28"/>
          <w:shd w:val="clear" w:fill="FFFFFF"/>
          <w:lang w:val="en-US" w:eastAsia="zh-CN" w:bidi="ar"/>
        </w:rPr>
      </w:pPr>
      <w:r>
        <w:rPr>
          <w:rFonts w:hint="eastAsia" w:ascii="宋体" w:hAnsi="宋体" w:cs="仿宋_GB2312"/>
          <w:i w:val="0"/>
          <w:iCs w:val="0"/>
          <w:caps w:val="0"/>
          <w:snapToGrid w:val="0"/>
          <w:color w:val="333333"/>
          <w:spacing w:val="6"/>
          <w:kern w:val="0"/>
          <w:sz w:val="28"/>
          <w:szCs w:val="28"/>
          <w:shd w:val="clear" w:fill="FFFFFF"/>
          <w:lang w:val="en-US" w:eastAsia="zh-CN" w:bidi="ar"/>
        </w:rPr>
        <w:t>项目实施单位制定了专项债券财务管理制度，但是制度内容过于宽泛，不够细化，可操作性差，同时未制定业务相关管理制度。</w:t>
      </w:r>
    </w:p>
    <w:p w14:paraId="60AF9AA4">
      <w:pPr>
        <w:pStyle w:val="3"/>
        <w:pageBreakBefore w:val="0"/>
        <w:wordWrap/>
        <w:overflowPunct/>
        <w:topLinePunct w:val="0"/>
        <w:bidi w:val="0"/>
        <w:ind w:firstLine="562" w:firstLineChars="200"/>
        <w:jc w:val="both"/>
        <w:textAlignment w:val="baseline"/>
        <w:rPr>
          <w:rFonts w:hint="default" w:ascii="宋体" w:hAnsi="宋体"/>
          <w:sz w:val="28"/>
          <w:szCs w:val="28"/>
          <w:highlight w:val="none"/>
          <w:lang w:val="en-US" w:eastAsia="zh-CN"/>
        </w:rPr>
      </w:pPr>
      <w:bookmarkStart w:id="122" w:name="_Toc5024"/>
      <w:r>
        <w:rPr>
          <w:rFonts w:hint="eastAsia" w:ascii="宋体" w:hAnsi="宋体"/>
          <w:sz w:val="28"/>
          <w:szCs w:val="28"/>
          <w:highlight w:val="none"/>
          <w:lang w:eastAsia="zh-CN"/>
        </w:rPr>
        <w:t>（</w:t>
      </w:r>
      <w:r>
        <w:rPr>
          <w:rFonts w:hint="eastAsia" w:ascii="宋体" w:hAnsi="宋体"/>
          <w:sz w:val="28"/>
          <w:szCs w:val="28"/>
          <w:highlight w:val="none"/>
          <w:lang w:val="en-US" w:eastAsia="zh-CN"/>
        </w:rPr>
        <w:t>二</w:t>
      </w:r>
      <w:r>
        <w:rPr>
          <w:rFonts w:hint="eastAsia" w:ascii="宋体" w:hAnsi="宋体"/>
          <w:sz w:val="28"/>
          <w:szCs w:val="28"/>
          <w:highlight w:val="none"/>
          <w:lang w:eastAsia="zh-CN"/>
        </w:rPr>
        <w:t>）</w:t>
      </w:r>
      <w:r>
        <w:rPr>
          <w:rFonts w:hint="eastAsia" w:ascii="宋体" w:hAnsi="宋体"/>
          <w:sz w:val="28"/>
          <w:szCs w:val="28"/>
          <w:highlight w:val="none"/>
          <w:lang w:val="en-US" w:eastAsia="zh-CN"/>
        </w:rPr>
        <w:t>项目建设过程中合同签订、支付等程序不够规范</w:t>
      </w:r>
      <w:bookmarkEnd w:id="122"/>
    </w:p>
    <w:p w14:paraId="6790F3C8">
      <w:pPr>
        <w:keepNext w:val="0"/>
        <w:keepLines w:val="0"/>
        <w:pageBreakBefore w:val="0"/>
        <w:widowControl/>
        <w:kinsoku w:val="0"/>
        <w:wordWrap/>
        <w:overflowPunct/>
        <w:topLinePunct w:val="0"/>
        <w:autoSpaceDE w:val="0"/>
        <w:autoSpaceDN w:val="0"/>
        <w:bidi w:val="0"/>
        <w:adjustRightInd w:val="0"/>
        <w:snapToGrid w:val="0"/>
        <w:ind w:firstLine="584" w:firstLineChars="200"/>
        <w:jc w:val="both"/>
        <w:textAlignment w:val="baseline"/>
        <w:rPr>
          <w:rFonts w:hint="eastAsia" w:ascii="宋体" w:hAnsi="宋体" w:cs="仿宋_GB2312"/>
          <w:i w:val="0"/>
          <w:iCs w:val="0"/>
          <w:caps w:val="0"/>
          <w:color w:val="333333"/>
          <w:spacing w:val="6"/>
          <w:sz w:val="28"/>
          <w:szCs w:val="28"/>
          <w:shd w:val="clear" w:fill="FFFFFF"/>
          <w:lang w:val="en-US" w:eastAsia="zh-CN"/>
        </w:rPr>
      </w:pP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本项目中</w:t>
      </w:r>
      <w:r>
        <w:rPr>
          <w:rFonts w:hint="eastAsia" w:ascii="宋体" w:hAnsi="宋体" w:eastAsia="仿宋_GB2312" w:cs="仿宋_GB2312"/>
          <w:i w:val="0"/>
          <w:iCs w:val="0"/>
          <w:caps w:val="0"/>
          <w:color w:val="333333"/>
          <w:spacing w:val="6"/>
          <w:sz w:val="28"/>
          <w:szCs w:val="28"/>
          <w:highlight w:val="none"/>
          <w:shd w:val="clear" w:fill="FFFFFF"/>
        </w:rPr>
        <w:t>中电信数智科技有限公司</w:t>
      </w:r>
      <w:r>
        <w:rPr>
          <w:rFonts w:hint="eastAsia" w:ascii="宋体" w:hAnsi="宋体" w:cs="仿宋_GB2312"/>
          <w:i w:val="0"/>
          <w:iCs w:val="0"/>
          <w:caps w:val="0"/>
          <w:color w:val="333333"/>
          <w:spacing w:val="6"/>
          <w:sz w:val="28"/>
          <w:szCs w:val="28"/>
          <w:highlight w:val="none"/>
          <w:shd w:val="clear" w:fill="FFFFFF"/>
          <w:lang w:val="en-US" w:eastAsia="zh-CN"/>
        </w:rPr>
        <w:t>于2025年6月3日中标本项目信息化系统采购项目，于2025年8月11日签订合同，超出《中标通知书》日期30天，合同签订</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程序不够规范。本项目</w:t>
      </w:r>
      <w:r>
        <w:rPr>
          <w:rFonts w:hint="eastAsia" w:ascii="宋体" w:hAnsi="宋体" w:cs="仿宋_GB2312"/>
          <w:i w:val="0"/>
          <w:iCs w:val="0"/>
          <w:caps w:val="0"/>
          <w:color w:val="333333"/>
          <w:spacing w:val="6"/>
          <w:sz w:val="28"/>
          <w:szCs w:val="28"/>
          <w:highlight w:val="none"/>
          <w:shd w:val="clear" w:fill="FFFFFF"/>
          <w:lang w:val="en-US" w:eastAsia="zh-CN"/>
        </w:rPr>
        <w:t>标识导视系统采购与安装合同价格1,168,097.61元，合同约定工程竣工</w:t>
      </w:r>
      <w:r>
        <w:rPr>
          <w:rFonts w:hint="eastAsia" w:ascii="宋体" w:hAnsi="宋体" w:cs="仿宋_GB2312"/>
          <w:i w:val="0"/>
          <w:iCs w:val="0"/>
          <w:caps w:val="0"/>
          <w:color w:val="333333"/>
          <w:spacing w:val="6"/>
          <w:sz w:val="28"/>
          <w:szCs w:val="28"/>
          <w:shd w:val="clear" w:fill="FFFFFF"/>
          <w:lang w:val="en-US" w:eastAsia="zh-CN"/>
        </w:rPr>
        <w:t>后支付至合同价款的80%，即934,478.09元，2025年度实际已支付952,114.06元，未能</w:t>
      </w:r>
      <w:r>
        <w:rPr>
          <w:rFonts w:hint="eastAsia" w:ascii="宋体" w:hAnsi="宋体" w:eastAsia="仿宋_GB2312" w:cs="仿宋_GB2312"/>
          <w:i w:val="0"/>
          <w:iCs w:val="0"/>
          <w:caps w:val="0"/>
          <w:color w:val="333333"/>
          <w:spacing w:val="6"/>
          <w:sz w:val="28"/>
          <w:szCs w:val="28"/>
          <w:shd w:val="clear" w:fill="FFFFFF"/>
          <w:lang w:val="en-US" w:eastAsia="zh-CN"/>
        </w:rPr>
        <w:t>严格按照合同约定付款周期</w:t>
      </w:r>
      <w:r>
        <w:rPr>
          <w:rFonts w:hint="eastAsia" w:ascii="宋体" w:hAnsi="宋体" w:cs="仿宋_GB2312"/>
          <w:i w:val="0"/>
          <w:iCs w:val="0"/>
          <w:caps w:val="0"/>
          <w:color w:val="333333"/>
          <w:spacing w:val="6"/>
          <w:sz w:val="28"/>
          <w:szCs w:val="28"/>
          <w:shd w:val="clear" w:fill="FFFFFF"/>
          <w:lang w:val="en-US" w:eastAsia="zh-CN"/>
        </w:rPr>
        <w:t>支付进度款，支付程序不够规范。</w:t>
      </w:r>
    </w:p>
    <w:p w14:paraId="10A039DF">
      <w:pPr>
        <w:keepNext w:val="0"/>
        <w:keepLines w:val="0"/>
        <w:pageBreakBefore w:val="0"/>
        <w:widowControl/>
        <w:kinsoku/>
        <w:wordWrap/>
        <w:overflowPunct/>
        <w:topLinePunct w:val="0"/>
        <w:autoSpaceDE w:val="0"/>
        <w:autoSpaceDN w:val="0"/>
        <w:bidi w:val="0"/>
        <w:adjustRightInd w:val="0"/>
        <w:snapToGrid w:val="0"/>
        <w:ind w:firstLine="586" w:firstLineChars="200"/>
        <w:jc w:val="both"/>
        <w:textAlignment w:val="baseline"/>
        <w:rPr>
          <w:rFonts w:hint="default" w:ascii="宋体" w:hAnsi="宋体" w:cs="仿宋_GB2312"/>
          <w:b/>
          <w:bCs/>
          <w:i w:val="0"/>
          <w:iCs w:val="0"/>
          <w:caps w:val="0"/>
          <w:color w:val="333333"/>
          <w:spacing w:val="6"/>
          <w:sz w:val="28"/>
          <w:szCs w:val="28"/>
          <w:shd w:val="clear" w:fill="FFFFFF"/>
          <w:lang w:val="en-US" w:eastAsia="zh-CN"/>
        </w:rPr>
      </w:pPr>
      <w:r>
        <w:rPr>
          <w:rFonts w:hint="eastAsia" w:ascii="宋体" w:hAnsi="宋体" w:cs="仿宋_GB2312"/>
          <w:b/>
          <w:bCs/>
          <w:i w:val="0"/>
          <w:iCs w:val="0"/>
          <w:caps w:val="0"/>
          <w:color w:val="333333"/>
          <w:spacing w:val="6"/>
          <w:sz w:val="28"/>
          <w:szCs w:val="28"/>
          <w:shd w:val="clear" w:fill="FFFFFF"/>
          <w:lang w:val="en-US" w:eastAsia="zh-CN"/>
        </w:rPr>
        <w:t>（三）未按时竣工</w:t>
      </w:r>
    </w:p>
    <w:p w14:paraId="3A24300F">
      <w:pPr>
        <w:keepNext w:val="0"/>
        <w:keepLines w:val="0"/>
        <w:pageBreakBefore w:val="0"/>
        <w:widowControl/>
        <w:kinsoku/>
        <w:wordWrap/>
        <w:overflowPunct/>
        <w:topLinePunct w:val="0"/>
        <w:autoSpaceDE w:val="0"/>
        <w:autoSpaceDN w:val="0"/>
        <w:bidi w:val="0"/>
        <w:adjustRightInd w:val="0"/>
        <w:snapToGrid w:val="0"/>
        <w:ind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pPr>
      <w:bookmarkStart w:id="123" w:name="_bookmark18"/>
      <w:bookmarkEnd w:id="123"/>
      <w:bookmarkStart w:id="124" w:name="_bookmark20"/>
      <w:bookmarkEnd w:id="124"/>
      <w:bookmarkStart w:id="125" w:name="_bookmark21"/>
      <w:bookmarkEnd w:id="125"/>
      <w:bookmarkStart w:id="126" w:name="_Toc3923"/>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依据《关于调整长春市宽城区医院异地建设项目可行性研究报告的批复》（长宽发改字【2022】91号），本项目建设周期2022年9月-2025年8月，截至2025年末，本项目尚未完成验收工作，未按时竣工。</w:t>
      </w:r>
    </w:p>
    <w:p w14:paraId="472C9CAA">
      <w:pPr>
        <w:pStyle w:val="2"/>
        <w:keepNext/>
        <w:pageBreakBefore w:val="0"/>
        <w:widowControl w:val="0"/>
        <w:kinsoku w:val="0"/>
        <w:wordWrap/>
        <w:overflowPunct/>
        <w:topLinePunct w:val="0"/>
        <w:autoSpaceDE w:val="0"/>
        <w:autoSpaceDN w:val="0"/>
        <w:bidi w:val="0"/>
        <w:adjustRightInd w:val="0"/>
        <w:snapToGrid w:val="0"/>
        <w:ind w:firstLine="562" w:firstLineChars="200"/>
        <w:jc w:val="both"/>
        <w:textAlignment w:val="baseline"/>
        <w:rPr>
          <w:rFonts w:hint="eastAsia" w:ascii="宋体" w:hAnsi="宋体"/>
          <w:sz w:val="28"/>
          <w:szCs w:val="28"/>
          <w:lang w:eastAsia="zh-CN"/>
        </w:rPr>
      </w:pPr>
      <w:r>
        <w:rPr>
          <w:rFonts w:hint="eastAsia" w:ascii="宋体" w:hAnsi="宋体"/>
          <w:sz w:val="28"/>
          <w:szCs w:val="28"/>
        </w:rPr>
        <w:t>六、有关建议</w:t>
      </w:r>
      <w:bookmarkEnd w:id="126"/>
    </w:p>
    <w:p w14:paraId="4F26704F">
      <w:pPr>
        <w:pStyle w:val="3"/>
        <w:keepNext/>
        <w:pageBreakBefore w:val="0"/>
        <w:widowControl w:val="0"/>
        <w:kinsoku w:val="0"/>
        <w:wordWrap/>
        <w:overflowPunct/>
        <w:topLinePunct w:val="0"/>
        <w:autoSpaceDE w:val="0"/>
        <w:autoSpaceDN w:val="0"/>
        <w:bidi w:val="0"/>
        <w:adjustRightInd w:val="0"/>
        <w:snapToGrid w:val="0"/>
        <w:ind w:firstLine="562" w:firstLineChars="200"/>
        <w:jc w:val="both"/>
        <w:textAlignment w:val="baseline"/>
        <w:rPr>
          <w:rFonts w:hint="default" w:ascii="宋体" w:hAnsi="宋体" w:eastAsia="仿宋_GB2312"/>
          <w:sz w:val="28"/>
          <w:szCs w:val="28"/>
          <w:lang w:val="en-US" w:eastAsia="zh-CN"/>
        </w:rPr>
      </w:pPr>
      <w:bookmarkStart w:id="127" w:name="_Toc24394"/>
      <w:r>
        <w:rPr>
          <w:rFonts w:hint="eastAsia" w:ascii="宋体" w:hAnsi="宋体"/>
          <w:sz w:val="28"/>
          <w:szCs w:val="28"/>
          <w:lang w:eastAsia="zh-CN"/>
        </w:rPr>
        <w:t>（</w:t>
      </w:r>
      <w:r>
        <w:rPr>
          <w:rFonts w:hint="eastAsia" w:ascii="宋体" w:hAnsi="宋体"/>
          <w:sz w:val="28"/>
          <w:szCs w:val="28"/>
          <w:lang w:val="en-US" w:eastAsia="zh-CN"/>
        </w:rPr>
        <w:t>一</w:t>
      </w:r>
      <w:r>
        <w:rPr>
          <w:rFonts w:hint="eastAsia" w:ascii="宋体" w:hAnsi="宋体"/>
          <w:sz w:val="28"/>
          <w:szCs w:val="28"/>
          <w:lang w:eastAsia="zh-CN"/>
        </w:rPr>
        <w:t>）</w:t>
      </w:r>
      <w:r>
        <w:rPr>
          <w:rFonts w:hint="eastAsia" w:ascii="宋体" w:hAnsi="宋体"/>
          <w:sz w:val="28"/>
          <w:szCs w:val="28"/>
          <w:lang w:val="en-US" w:eastAsia="zh-CN"/>
        </w:rPr>
        <w:t>完善相关管理制度</w:t>
      </w:r>
      <w:bookmarkEnd w:id="127"/>
    </w:p>
    <w:p w14:paraId="456DDBE8">
      <w:pPr>
        <w:keepNext w:val="0"/>
        <w:keepLines w:val="0"/>
        <w:pageBreakBefore w:val="0"/>
        <w:widowControl/>
        <w:kinsoku w:val="0"/>
        <w:wordWrap/>
        <w:overflowPunct/>
        <w:topLinePunct w:val="0"/>
        <w:autoSpaceDE w:val="0"/>
        <w:autoSpaceDN w:val="0"/>
        <w:bidi w:val="0"/>
        <w:adjustRightInd w:val="0"/>
        <w:snapToGrid w:val="0"/>
        <w:ind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pPr>
      <w:bookmarkStart w:id="128" w:name="_bookmark22"/>
      <w:bookmarkEnd w:id="128"/>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建议项目</w:t>
      </w:r>
      <w:r>
        <w:rPr>
          <w:rFonts w:hint="eastAsia" w:ascii="宋体" w:hAnsi="宋体" w:cs="仿宋_GB2312"/>
          <w:i w:val="0"/>
          <w:iCs w:val="0"/>
          <w:caps w:val="0"/>
          <w:snapToGrid w:val="0"/>
          <w:color w:val="333333"/>
          <w:spacing w:val="6"/>
          <w:kern w:val="0"/>
          <w:sz w:val="28"/>
          <w:szCs w:val="28"/>
          <w:shd w:val="clear" w:fill="FFFFFF"/>
          <w:lang w:val="en-US" w:eastAsia="zh-CN" w:bidi="ar"/>
        </w:rPr>
        <w:t>实施</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单位完善财务管理制度</w:t>
      </w:r>
      <w:r>
        <w:rPr>
          <w:rFonts w:hint="eastAsia" w:ascii="宋体" w:hAnsi="宋体" w:cs="仿宋_GB2312"/>
          <w:i w:val="0"/>
          <w:iCs w:val="0"/>
          <w:caps w:val="0"/>
          <w:snapToGrid w:val="0"/>
          <w:color w:val="333333"/>
          <w:spacing w:val="6"/>
          <w:kern w:val="0"/>
          <w:sz w:val="28"/>
          <w:szCs w:val="28"/>
          <w:shd w:val="clear" w:fill="FFFFFF"/>
          <w:lang w:val="en-US" w:eastAsia="zh-CN" w:bidi="ar"/>
        </w:rPr>
        <w:t>、</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业务管理制度等相关管理制度。加强项目市场风险防控、技术风险防控、融资风险防控等，并针对相应的风险防控</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制定控制措施</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及时查漏补</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缺，严格按照已经制定的相关制度执行。</w:t>
      </w:r>
    </w:p>
    <w:p w14:paraId="05FA3040">
      <w:pPr>
        <w:pStyle w:val="3"/>
        <w:pageBreakBefore w:val="0"/>
        <w:wordWrap/>
        <w:overflowPunct/>
        <w:topLinePunct w:val="0"/>
        <w:bidi w:val="0"/>
        <w:ind w:firstLine="562" w:firstLineChars="200"/>
        <w:jc w:val="both"/>
        <w:textAlignment w:val="baseline"/>
        <w:rPr>
          <w:rFonts w:hint="default" w:ascii="宋体" w:hAnsi="宋体"/>
          <w:sz w:val="28"/>
          <w:szCs w:val="28"/>
          <w:lang w:val="en-US" w:eastAsia="zh-CN"/>
        </w:rPr>
      </w:pPr>
      <w:bookmarkStart w:id="129" w:name="_Toc7457"/>
      <w:r>
        <w:rPr>
          <w:rFonts w:hint="eastAsia" w:ascii="宋体" w:hAnsi="宋体"/>
          <w:sz w:val="28"/>
          <w:szCs w:val="28"/>
          <w:lang w:eastAsia="zh-CN"/>
        </w:rPr>
        <w:t>（</w:t>
      </w:r>
      <w:r>
        <w:rPr>
          <w:rFonts w:hint="eastAsia" w:ascii="宋体" w:hAnsi="宋体"/>
          <w:sz w:val="28"/>
          <w:szCs w:val="28"/>
          <w:lang w:val="en-US" w:eastAsia="zh-CN"/>
        </w:rPr>
        <w:t>二</w:t>
      </w:r>
      <w:r>
        <w:rPr>
          <w:rFonts w:hint="eastAsia" w:ascii="宋体" w:hAnsi="宋体"/>
          <w:sz w:val="28"/>
          <w:szCs w:val="28"/>
          <w:lang w:eastAsia="zh-CN"/>
        </w:rPr>
        <w:t>）</w:t>
      </w:r>
      <w:r>
        <w:rPr>
          <w:rFonts w:hint="eastAsia" w:ascii="宋体" w:hAnsi="宋体"/>
          <w:sz w:val="28"/>
          <w:szCs w:val="28"/>
          <w:lang w:val="en-US" w:eastAsia="zh-CN"/>
        </w:rPr>
        <w:t>严格按照规范程序签订合同</w:t>
      </w:r>
      <w:bookmarkEnd w:id="129"/>
    </w:p>
    <w:p w14:paraId="3A2F5A74">
      <w:pPr>
        <w:pageBreakBefore w:val="0"/>
        <w:wordWrap/>
        <w:overflowPunct/>
        <w:topLinePunct w:val="0"/>
        <w:bidi w:val="0"/>
        <w:ind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pPr>
      <w:bookmarkStart w:id="130" w:name="_Toc290"/>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项目主管部门和项目</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实施</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单位</w:t>
      </w:r>
      <w:r>
        <w:rPr>
          <w:rFonts w:hint="eastAsia" w:ascii="宋体" w:hAnsi="宋体" w:cs="仿宋_GB2312"/>
          <w:i w:val="0"/>
          <w:iCs w:val="0"/>
          <w:caps w:val="0"/>
          <w:snapToGrid w:val="0"/>
          <w:color w:val="333333"/>
          <w:spacing w:val="6"/>
          <w:kern w:val="0"/>
          <w:sz w:val="28"/>
          <w:szCs w:val="28"/>
          <w:highlight w:val="none"/>
          <w:shd w:val="clear" w:fill="FFFFFF"/>
          <w:lang w:val="en-US" w:eastAsia="zh-CN" w:bidi="ar"/>
        </w:rPr>
        <w:t>在建设过程中应加强对文件的校对和审核工作，按照有关财务会计制度规定，以及实际发生的经济业务事项为依据，做好各项日常会计核算工作，按照规定及时签订合同，确保财务会计信息的合法、真实、准确、及时、完整</w:t>
      </w:r>
      <w:r>
        <w:rPr>
          <w:rFonts w:hint="eastAsia" w:ascii="宋体" w:hAnsi="宋体" w:eastAsia="仿宋_GB2312" w:cs="仿宋_GB2312"/>
          <w:i w:val="0"/>
          <w:iCs w:val="0"/>
          <w:caps w:val="0"/>
          <w:snapToGrid w:val="0"/>
          <w:color w:val="333333"/>
          <w:spacing w:val="6"/>
          <w:kern w:val="0"/>
          <w:sz w:val="28"/>
          <w:szCs w:val="28"/>
          <w:highlight w:val="none"/>
          <w:shd w:val="clear" w:fill="FFFFFF"/>
          <w:lang w:val="en-US" w:eastAsia="zh-CN" w:bidi="ar"/>
        </w:rPr>
        <w:t>。</w:t>
      </w:r>
      <w:bookmarkEnd w:id="130"/>
    </w:p>
    <w:p w14:paraId="287729D0">
      <w:pPr>
        <w:pStyle w:val="2"/>
        <w:pageBreakBefore w:val="0"/>
        <w:wordWrap/>
        <w:overflowPunct/>
        <w:topLinePunct w:val="0"/>
        <w:bidi w:val="0"/>
        <w:ind w:firstLine="562" w:firstLineChars="200"/>
        <w:jc w:val="both"/>
        <w:textAlignment w:val="baseline"/>
        <w:rPr>
          <w:rFonts w:hint="default" w:ascii="宋体" w:hAnsi="宋体" w:eastAsia="仿宋_GB2312" w:cs="Arial"/>
          <w:b/>
          <w:snapToGrid w:val="0"/>
          <w:color w:val="000000"/>
          <w:kern w:val="0"/>
          <w:sz w:val="28"/>
          <w:szCs w:val="28"/>
          <w:lang w:val="en-US" w:eastAsia="zh-CN"/>
        </w:rPr>
      </w:pPr>
      <w:bookmarkStart w:id="131" w:name="_bookmark23"/>
      <w:bookmarkEnd w:id="131"/>
      <w:bookmarkStart w:id="132" w:name="_bookmark24"/>
      <w:bookmarkEnd w:id="132"/>
      <w:bookmarkStart w:id="133" w:name="_Toc13717"/>
      <w:r>
        <w:rPr>
          <w:rFonts w:hint="eastAsia" w:ascii="宋体" w:hAnsi="宋体" w:eastAsia="仿宋_GB2312" w:cs="Arial"/>
          <w:b/>
          <w:snapToGrid w:val="0"/>
          <w:color w:val="000000"/>
          <w:kern w:val="0"/>
          <w:sz w:val="28"/>
          <w:szCs w:val="28"/>
          <w:lang w:val="en-US" w:eastAsia="zh-CN"/>
        </w:rPr>
        <w:t>（三）积极推进验收工作</w:t>
      </w:r>
    </w:p>
    <w:p w14:paraId="3A971F30">
      <w:pPr>
        <w:pStyle w:val="2"/>
        <w:pageBreakBefore w:val="0"/>
        <w:wordWrap/>
        <w:overflowPunct/>
        <w:topLinePunct w:val="0"/>
        <w:bidi w:val="0"/>
        <w:ind w:firstLine="584" w:firstLineChars="200"/>
        <w:jc w:val="both"/>
        <w:textAlignment w:val="baseline"/>
        <w:rPr>
          <w:rFonts w:hint="default" w:ascii="宋体" w:hAnsi="宋体" w:eastAsia="仿宋_GB2312" w:cs="仿宋_GB2312"/>
          <w:b w:val="0"/>
          <w:i w:val="0"/>
          <w:iCs w:val="0"/>
          <w:caps w:val="0"/>
          <w:snapToGrid w:val="0"/>
          <w:color w:val="333333"/>
          <w:spacing w:val="6"/>
          <w:kern w:val="0"/>
          <w:sz w:val="28"/>
          <w:szCs w:val="28"/>
          <w:highlight w:val="none"/>
          <w:shd w:val="clear" w:fill="FFFFFF"/>
          <w:lang w:val="en-US" w:eastAsia="zh-CN" w:bidi="ar"/>
        </w:rPr>
      </w:pPr>
      <w:r>
        <w:rPr>
          <w:rFonts w:hint="eastAsia" w:ascii="宋体" w:hAnsi="宋体" w:eastAsia="仿宋_GB2312" w:cs="仿宋_GB2312"/>
          <w:b w:val="0"/>
          <w:i w:val="0"/>
          <w:iCs w:val="0"/>
          <w:caps w:val="0"/>
          <w:snapToGrid w:val="0"/>
          <w:color w:val="333333"/>
          <w:spacing w:val="6"/>
          <w:kern w:val="0"/>
          <w:sz w:val="28"/>
          <w:szCs w:val="28"/>
          <w:highlight w:val="none"/>
          <w:shd w:val="clear" w:fill="FFFFFF"/>
          <w:lang w:val="en-US" w:eastAsia="zh-CN" w:bidi="ar"/>
        </w:rPr>
        <w:t>对项目在验收过程中遇到的问题，积极与各部门沟通，尽快完成验收，以便尽快完成竣工财务决算与资产转固，方便资产管理。</w:t>
      </w:r>
    </w:p>
    <w:p w14:paraId="28E050E1">
      <w:pPr>
        <w:pStyle w:val="2"/>
        <w:bidi w:val="0"/>
        <w:rPr>
          <w:rFonts w:hint="eastAsia" w:ascii="宋体" w:hAnsi="宋体"/>
          <w:sz w:val="28"/>
          <w:szCs w:val="28"/>
          <w:lang w:eastAsia="zh-CN"/>
        </w:rPr>
      </w:pPr>
      <w:r>
        <w:rPr>
          <w:rFonts w:hint="eastAsia" w:ascii="宋体" w:hAnsi="宋体"/>
          <w:sz w:val="28"/>
          <w:szCs w:val="28"/>
        </w:rPr>
        <w:t>七、其他需要说明的问题</w:t>
      </w:r>
      <w:bookmarkEnd w:id="133"/>
    </w:p>
    <w:p w14:paraId="217D009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default" w:ascii="宋体" w:hAnsi="宋体" w:eastAsia="仿宋_GB2312" w:cs="仿宋_GB2312"/>
          <w:spacing w:val="10"/>
          <w:sz w:val="28"/>
          <w:szCs w:val="28"/>
          <w:lang w:val="en-US" w:eastAsia="zh-CN"/>
        </w:rPr>
      </w:pPr>
      <w:r>
        <w:rPr>
          <w:rFonts w:hint="eastAsia" w:ascii="宋体" w:hAnsi="宋体" w:cs="仿宋_GB2312"/>
          <w:spacing w:val="10"/>
          <w:sz w:val="28"/>
          <w:szCs w:val="28"/>
          <w:lang w:val="en-US" w:eastAsia="zh-CN"/>
        </w:rPr>
        <w:t>本报告项目资金支出42,973.12万元中包含土地成本586.12万元，该成本未包含在初设概算金额内。</w:t>
      </w:r>
    </w:p>
    <w:p w14:paraId="414BDAFF">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eastAsia" w:ascii="宋体" w:hAnsi="宋体" w:eastAsia="仿宋_GB2312" w:cs="仿宋_GB2312"/>
          <w:spacing w:val="10"/>
          <w:sz w:val="28"/>
          <w:szCs w:val="28"/>
          <w:lang w:val="en-US" w:eastAsia="zh-CN"/>
        </w:rPr>
      </w:pPr>
      <w:r>
        <w:rPr>
          <w:rFonts w:hint="default" w:ascii="宋体" w:hAnsi="宋体" w:eastAsia="仿宋_GB2312" w:cs="仿宋_GB2312"/>
          <w:spacing w:val="10"/>
          <w:sz w:val="28"/>
          <w:szCs w:val="28"/>
          <w:lang w:val="en-US" w:eastAsia="zh-CN"/>
        </w:rPr>
        <w:t>本报告主要依据项目单位提供的资料及现场调研做出的评价。报告主要是基于项目单位提供的决策、</w:t>
      </w:r>
      <w:r>
        <w:rPr>
          <w:rFonts w:hint="eastAsia" w:ascii="宋体" w:hAnsi="宋体" w:cs="仿宋_GB2312"/>
          <w:spacing w:val="10"/>
          <w:sz w:val="28"/>
          <w:szCs w:val="28"/>
          <w:lang w:val="en-US" w:eastAsia="zh-CN"/>
        </w:rPr>
        <w:t>管理</w:t>
      </w:r>
      <w:r>
        <w:rPr>
          <w:rFonts w:hint="default" w:ascii="宋体" w:hAnsi="宋体" w:eastAsia="仿宋_GB2312" w:cs="仿宋_GB2312"/>
          <w:spacing w:val="10"/>
          <w:sz w:val="28"/>
          <w:szCs w:val="28"/>
          <w:lang w:val="en-US" w:eastAsia="zh-CN"/>
        </w:rPr>
        <w:t>、产出、</w:t>
      </w:r>
      <w:r>
        <w:rPr>
          <w:rFonts w:hint="eastAsia" w:ascii="宋体" w:hAnsi="宋体" w:cs="仿宋_GB2312"/>
          <w:spacing w:val="10"/>
          <w:sz w:val="28"/>
          <w:szCs w:val="28"/>
          <w:lang w:val="en-US" w:eastAsia="zh-CN"/>
        </w:rPr>
        <w:t>效益</w:t>
      </w:r>
      <w:r>
        <w:rPr>
          <w:rFonts w:hint="default" w:ascii="宋体" w:hAnsi="宋体" w:eastAsia="仿宋_GB2312" w:cs="仿宋_GB2312"/>
          <w:spacing w:val="10"/>
          <w:sz w:val="28"/>
          <w:szCs w:val="28"/>
          <w:lang w:val="en-US" w:eastAsia="zh-CN"/>
        </w:rPr>
        <w:t>等方面的资料及合理的现场调研做出，评价组对资料的真实性进行了适当的调研与抽查。但受调研范围及现场情况所限，并不是每项指标的打分都有着充分的调研支撑，个别指标主要是依据评价组工作人员的专业判断</w:t>
      </w:r>
      <w:r>
        <w:rPr>
          <w:rFonts w:hint="eastAsia" w:ascii="宋体" w:hAnsi="宋体" w:eastAsia="仿宋_GB2312" w:cs="仿宋_GB2312"/>
          <w:spacing w:val="10"/>
          <w:sz w:val="28"/>
          <w:szCs w:val="28"/>
          <w:lang w:val="en-US" w:eastAsia="zh-CN"/>
        </w:rPr>
        <w:t>。</w:t>
      </w:r>
    </w:p>
    <w:p w14:paraId="653E319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eastAsia" w:ascii="宋体" w:hAnsi="宋体" w:eastAsia="仿宋_GB2312" w:cs="仿宋_GB2312"/>
          <w:spacing w:val="10"/>
          <w:sz w:val="28"/>
          <w:szCs w:val="28"/>
          <w:lang w:val="en-US" w:eastAsia="zh-CN"/>
        </w:rPr>
      </w:pPr>
    </w:p>
    <w:p w14:paraId="3B4462E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eastAsia" w:ascii="宋体" w:hAnsi="宋体" w:eastAsia="仿宋_GB2312" w:cs="仿宋_GB2312"/>
          <w:spacing w:val="10"/>
          <w:sz w:val="28"/>
          <w:szCs w:val="28"/>
          <w:lang w:val="en-US" w:eastAsia="zh-CN"/>
        </w:rPr>
      </w:pPr>
      <w:r>
        <w:rPr>
          <w:rFonts w:hint="eastAsia" w:ascii="宋体" w:hAnsi="宋体" w:eastAsia="仿宋_GB2312" w:cs="仿宋_GB2312"/>
          <w:spacing w:val="10"/>
          <w:sz w:val="28"/>
          <w:szCs w:val="28"/>
          <w:lang w:val="en-US" w:eastAsia="zh-CN"/>
        </w:rPr>
        <w:t>附件1：长春市宽城区医院异地建设项目绩效评价综合评分表</w:t>
      </w:r>
    </w:p>
    <w:p w14:paraId="5CB22948">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p>
    <w:p w14:paraId="4400A3CA">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p>
    <w:p w14:paraId="3DE84116">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p>
    <w:p w14:paraId="3CE55F01">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p>
    <w:p w14:paraId="5630EAB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eastAsia" w:ascii="宋体" w:hAnsi="宋体" w:eastAsia="仿宋_GB2312" w:cs="仿宋_GB2312"/>
          <w:spacing w:val="10"/>
          <w:sz w:val="28"/>
          <w:szCs w:val="28"/>
          <w:lang w:val="en-US" w:eastAsia="zh-CN"/>
        </w:rPr>
      </w:pPr>
      <w:r>
        <w:rPr>
          <w:rFonts w:hint="eastAsia" w:ascii="宋体" w:hAnsi="宋体" w:eastAsia="仿宋_GB2312" w:cs="仿宋_GB2312"/>
          <w:spacing w:val="10"/>
          <w:sz w:val="28"/>
          <w:szCs w:val="28"/>
          <w:lang w:val="en-US" w:eastAsia="zh-CN"/>
        </w:rPr>
        <w:t>长春市华伟会计师事务所          中国注册会计师：</w:t>
      </w:r>
    </w:p>
    <w:p w14:paraId="0FB9AF3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default" w:ascii="宋体" w:hAnsi="宋体" w:eastAsia="仿宋_GB2312" w:cs="仿宋_GB2312"/>
          <w:spacing w:val="10"/>
          <w:sz w:val="28"/>
          <w:szCs w:val="28"/>
          <w:lang w:val="en-US" w:eastAsia="zh-CN"/>
        </w:rPr>
      </w:pPr>
      <w:r>
        <w:rPr>
          <w:rFonts w:hint="eastAsia" w:ascii="宋体" w:hAnsi="宋体" w:cs="仿宋_GB2312"/>
          <w:spacing w:val="10"/>
          <w:sz w:val="28"/>
          <w:szCs w:val="28"/>
          <w:lang w:val="en-US" w:eastAsia="zh-CN"/>
        </w:rPr>
        <w:t xml:space="preserve"> </w:t>
      </w:r>
    </w:p>
    <w:p w14:paraId="665EB5E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1200" w:firstLineChars="400"/>
        <w:jc w:val="both"/>
        <w:textAlignment w:val="baseline"/>
        <w:rPr>
          <w:rFonts w:hint="eastAsia" w:ascii="宋体" w:hAnsi="宋体" w:eastAsia="仿宋_GB2312" w:cs="仿宋_GB2312"/>
          <w:spacing w:val="10"/>
          <w:sz w:val="28"/>
          <w:szCs w:val="28"/>
          <w:lang w:val="en-US" w:eastAsia="zh-CN"/>
        </w:rPr>
      </w:pPr>
      <w:r>
        <w:rPr>
          <w:rFonts w:hint="eastAsia" w:ascii="宋体" w:hAnsi="宋体" w:eastAsia="仿宋_GB2312" w:cs="仿宋_GB2312"/>
          <w:spacing w:val="10"/>
          <w:sz w:val="28"/>
          <w:szCs w:val="28"/>
          <w:lang w:val="en-US" w:eastAsia="zh-CN"/>
        </w:rPr>
        <w:t xml:space="preserve">（普通合伙）         </w:t>
      </w:r>
      <w:r>
        <w:rPr>
          <w:rFonts w:hint="eastAsia" w:ascii="宋体" w:hAnsi="宋体" w:cs="仿宋_GB2312"/>
          <w:spacing w:val="10"/>
          <w:sz w:val="28"/>
          <w:szCs w:val="28"/>
          <w:lang w:val="en-US" w:eastAsia="zh-CN"/>
        </w:rPr>
        <w:t xml:space="preserve"> </w:t>
      </w:r>
      <w:r>
        <w:rPr>
          <w:rFonts w:hint="eastAsia" w:ascii="宋体" w:hAnsi="宋体" w:eastAsia="仿宋_GB2312" w:cs="仿宋_GB2312"/>
          <w:spacing w:val="10"/>
          <w:sz w:val="28"/>
          <w:szCs w:val="28"/>
          <w:lang w:val="en-US" w:eastAsia="zh-CN"/>
        </w:rPr>
        <w:t xml:space="preserve"> </w:t>
      </w:r>
      <w:r>
        <w:rPr>
          <w:rFonts w:hint="eastAsia" w:ascii="宋体" w:hAnsi="宋体" w:cs="仿宋_GB2312"/>
          <w:spacing w:val="10"/>
          <w:sz w:val="28"/>
          <w:szCs w:val="28"/>
          <w:lang w:val="en-US" w:eastAsia="zh-CN"/>
        </w:rPr>
        <w:t xml:space="preserve">  </w:t>
      </w:r>
      <w:r>
        <w:rPr>
          <w:rFonts w:hint="eastAsia" w:ascii="宋体" w:hAnsi="宋体" w:eastAsia="仿宋_GB2312" w:cs="仿宋_GB2312"/>
          <w:spacing w:val="10"/>
          <w:sz w:val="28"/>
          <w:szCs w:val="28"/>
          <w:lang w:val="en-US" w:eastAsia="zh-CN"/>
        </w:rPr>
        <w:t xml:space="preserve">   中国注册会计师：</w:t>
      </w:r>
    </w:p>
    <w:p w14:paraId="1963215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eastAsia" w:ascii="宋体" w:hAnsi="宋体" w:eastAsia="仿宋_GB2312" w:cs="仿宋_GB2312"/>
          <w:spacing w:val="10"/>
          <w:sz w:val="28"/>
          <w:szCs w:val="28"/>
          <w:lang w:val="en-US" w:eastAsia="zh-CN"/>
        </w:rPr>
      </w:pPr>
    </w:p>
    <w:p w14:paraId="7B6E2BB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eastAsia" w:ascii="宋体" w:hAnsi="宋体" w:eastAsia="仿宋_GB2312" w:cs="仿宋_GB2312"/>
          <w:spacing w:val="10"/>
          <w:sz w:val="28"/>
          <w:szCs w:val="28"/>
          <w:lang w:val="en-US" w:eastAsia="zh-CN"/>
        </w:rPr>
      </w:pPr>
    </w:p>
    <w:p w14:paraId="6C738E5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1200" w:firstLineChars="400"/>
        <w:jc w:val="both"/>
        <w:textAlignment w:val="baseline"/>
        <w:rPr>
          <w:rFonts w:hint="eastAsia" w:ascii="仿宋" w:hAnsi="仿宋" w:eastAsia="仿宋" w:cs="仿宋"/>
          <w:b/>
          <w:sz w:val="24"/>
          <w:highlight w:val="none"/>
        </w:rPr>
      </w:pPr>
      <w:r>
        <w:rPr>
          <w:rFonts w:hint="eastAsia" w:ascii="宋体" w:hAnsi="宋体" w:eastAsia="仿宋_GB2312" w:cs="仿宋_GB2312"/>
          <w:spacing w:val="10"/>
          <w:sz w:val="28"/>
          <w:szCs w:val="28"/>
          <w:lang w:val="en-US" w:eastAsia="zh-CN"/>
        </w:rPr>
        <w:t xml:space="preserve">中国·长春       </w:t>
      </w:r>
      <w:r>
        <w:rPr>
          <w:rFonts w:hint="eastAsia" w:ascii="宋体" w:hAnsi="宋体" w:cs="仿宋_GB2312"/>
          <w:spacing w:val="10"/>
          <w:sz w:val="28"/>
          <w:szCs w:val="28"/>
          <w:lang w:val="en-US" w:eastAsia="zh-CN"/>
        </w:rPr>
        <w:t xml:space="preserve">  </w:t>
      </w:r>
      <w:r>
        <w:rPr>
          <w:rFonts w:hint="eastAsia" w:ascii="宋体" w:hAnsi="宋体" w:eastAsia="仿宋_GB2312" w:cs="仿宋_GB2312"/>
          <w:spacing w:val="10"/>
          <w:sz w:val="28"/>
          <w:szCs w:val="28"/>
          <w:lang w:val="en-US" w:eastAsia="zh-CN"/>
        </w:rPr>
        <w:t xml:space="preserve">      二〇二六年六月二十九日</w:t>
      </w:r>
    </w:p>
    <w:p w14:paraId="5D70E64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00" w:firstLineChars="200"/>
        <w:jc w:val="both"/>
        <w:textAlignment w:val="baseline"/>
        <w:rPr>
          <w:rFonts w:hint="default" w:ascii="宋体" w:hAnsi="宋体" w:eastAsia="仿宋_GB2312" w:cs="仿宋_GB2312"/>
          <w:spacing w:val="10"/>
          <w:sz w:val="28"/>
          <w:szCs w:val="28"/>
          <w:lang w:val="en-US" w:eastAsia="zh-CN"/>
        </w:rPr>
      </w:pPr>
    </w:p>
    <w:sectPr>
      <w:footerReference r:id="rId7" w:type="default"/>
      <w:pgSz w:w="11906" w:h="16839"/>
      <w:pgMar w:top="1440" w:right="1800" w:bottom="1440" w:left="1800" w:header="0" w:footer="1059"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679591-1701-48D4-B2B8-95E85FFCE02E}"/>
  </w:font>
  <w:font w:name="黑体">
    <w:panose1 w:val="02010609060101010101"/>
    <w:charset w:val="86"/>
    <w:family w:val="auto"/>
    <w:pitch w:val="default"/>
    <w:sig w:usb0="800002BF" w:usb1="38CF7CFA" w:usb2="00000016" w:usb3="00000000" w:csb0="00040001" w:csb1="00000000"/>
    <w:embedRegular r:id="rId2" w:fontKey="{AAACC41A-7364-44C8-86BF-AF1BF8120B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585C91E-366E-41A8-B3E9-81E3AD485D55}"/>
  </w:font>
  <w:font w:name="方正小标宋简体">
    <w:panose1 w:val="02000000000000000000"/>
    <w:charset w:val="86"/>
    <w:family w:val="auto"/>
    <w:pitch w:val="default"/>
    <w:sig w:usb0="00000001" w:usb1="08000000" w:usb2="00000000" w:usb3="00000000" w:csb0="00040000" w:csb1="00000000"/>
    <w:embedRegular r:id="rId4" w:fontKey="{7BBA12BE-6CF8-4158-8688-55979BB15A05}"/>
  </w:font>
  <w:font w:name="仿宋">
    <w:panose1 w:val="02010609060101010101"/>
    <w:charset w:val="86"/>
    <w:family w:val="auto"/>
    <w:pitch w:val="default"/>
    <w:sig w:usb0="800002BF" w:usb1="38CF7CFA" w:usb2="00000016" w:usb3="00000000" w:csb0="00040001" w:csb1="00000000"/>
    <w:embedRegular r:id="rId5" w:fontKey="{A4A47731-988C-461F-AA0D-D886EFB22A80}"/>
  </w:font>
  <w:font w:name="Arial Narrow">
    <w:panose1 w:val="00000000000000000000"/>
    <w:charset w:val="00"/>
    <w:family w:val="auto"/>
    <w:pitch w:val="default"/>
    <w:sig w:usb0="00000000" w:usb1="00000000" w:usb2="00000000" w:usb3="00000000" w:csb0="00000000" w:csb1="00000000"/>
    <w:embedRegular r:id="rId6" w:fontKey="{5E09E0FB-D96F-40A8-AD14-8249FF1795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7C76">
    <w:pPr>
      <w:spacing w:line="194" w:lineRule="auto"/>
      <w:ind w:left="4278"/>
      <w:rPr>
        <w:rFonts w:ascii="仿宋" w:hAnsi="仿宋" w:eastAsia="仿宋" w:cs="仿宋"/>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8B26">
    <w:pPr>
      <w:spacing w:line="194" w:lineRule="auto"/>
      <w:ind w:left="4278"/>
      <w:rPr>
        <w:rFonts w:ascii="仿宋" w:hAnsi="仿宋" w:eastAsia="仿宋" w:cs="仿宋"/>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232A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9232A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83B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95EF7"/>
    <w:multiLevelType w:val="singleLevel"/>
    <w:tmpl w:val="07995EF7"/>
    <w:lvl w:ilvl="0" w:tentative="0">
      <w:start w:val="2"/>
      <w:numFmt w:val="chineseCounting"/>
      <w:suff w:val="nothing"/>
      <w:lvlText w:val="（%1）"/>
      <w:lvlJc w:val="left"/>
      <w:rPr>
        <w:rFonts w:hint="eastAsia"/>
      </w:rPr>
    </w:lvl>
  </w:abstractNum>
  <w:abstractNum w:abstractNumId="1">
    <w:nsid w:val="4EB4E80B"/>
    <w:multiLevelType w:val="singleLevel"/>
    <w:tmpl w:val="4EB4E80B"/>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JkMmNiNzQxMDQ2ZTdiNTUyMTcwMTJlZDQ4NTg2ZWYifQ=="/>
  </w:docVars>
  <w:rsids>
    <w:rsidRoot w:val="00000000"/>
    <w:rsid w:val="000203CD"/>
    <w:rsid w:val="00FB42BA"/>
    <w:rsid w:val="01264FE9"/>
    <w:rsid w:val="02895B83"/>
    <w:rsid w:val="03944C2D"/>
    <w:rsid w:val="03C73360"/>
    <w:rsid w:val="03F4793D"/>
    <w:rsid w:val="04BD7D66"/>
    <w:rsid w:val="05410997"/>
    <w:rsid w:val="057A0B4C"/>
    <w:rsid w:val="05BE5B43"/>
    <w:rsid w:val="064C13A1"/>
    <w:rsid w:val="068B011B"/>
    <w:rsid w:val="06C4362D"/>
    <w:rsid w:val="07571DAC"/>
    <w:rsid w:val="08283748"/>
    <w:rsid w:val="085C3EA8"/>
    <w:rsid w:val="08D833C0"/>
    <w:rsid w:val="08D8516E"/>
    <w:rsid w:val="09C676BC"/>
    <w:rsid w:val="0B654BB0"/>
    <w:rsid w:val="0B8E11DA"/>
    <w:rsid w:val="0BE835B9"/>
    <w:rsid w:val="0C851632"/>
    <w:rsid w:val="0F9067A2"/>
    <w:rsid w:val="111C26AB"/>
    <w:rsid w:val="131E4B35"/>
    <w:rsid w:val="13BD743A"/>
    <w:rsid w:val="13FD1F2D"/>
    <w:rsid w:val="142E49F6"/>
    <w:rsid w:val="148B131B"/>
    <w:rsid w:val="14DE3B0C"/>
    <w:rsid w:val="163757C5"/>
    <w:rsid w:val="165B508C"/>
    <w:rsid w:val="165F5BA3"/>
    <w:rsid w:val="1B5B7A3D"/>
    <w:rsid w:val="1B863AF8"/>
    <w:rsid w:val="1C297D63"/>
    <w:rsid w:val="1D0F2749"/>
    <w:rsid w:val="1D415F2B"/>
    <w:rsid w:val="1E334CA7"/>
    <w:rsid w:val="1EF84E4D"/>
    <w:rsid w:val="1F9B2B54"/>
    <w:rsid w:val="1FC96852"/>
    <w:rsid w:val="1FF40688"/>
    <w:rsid w:val="200F7270"/>
    <w:rsid w:val="2031368A"/>
    <w:rsid w:val="203A3245"/>
    <w:rsid w:val="204E33A7"/>
    <w:rsid w:val="20853119"/>
    <w:rsid w:val="2111745B"/>
    <w:rsid w:val="211A2370"/>
    <w:rsid w:val="215869F4"/>
    <w:rsid w:val="2265761B"/>
    <w:rsid w:val="230848E4"/>
    <w:rsid w:val="2313705F"/>
    <w:rsid w:val="23C818DD"/>
    <w:rsid w:val="248C46E5"/>
    <w:rsid w:val="26F57957"/>
    <w:rsid w:val="26F77FFE"/>
    <w:rsid w:val="275859A0"/>
    <w:rsid w:val="27A41498"/>
    <w:rsid w:val="28BC683F"/>
    <w:rsid w:val="28F434A6"/>
    <w:rsid w:val="28F65471"/>
    <w:rsid w:val="291E6775"/>
    <w:rsid w:val="2AD30322"/>
    <w:rsid w:val="2B23111A"/>
    <w:rsid w:val="2C5477D8"/>
    <w:rsid w:val="2CEB696E"/>
    <w:rsid w:val="2D172C86"/>
    <w:rsid w:val="2D52241C"/>
    <w:rsid w:val="2E166004"/>
    <w:rsid w:val="2E8B3265"/>
    <w:rsid w:val="2F3960B7"/>
    <w:rsid w:val="2F436F36"/>
    <w:rsid w:val="2F5B427F"/>
    <w:rsid w:val="311566B0"/>
    <w:rsid w:val="319A07F5"/>
    <w:rsid w:val="31CB4830"/>
    <w:rsid w:val="321A26C3"/>
    <w:rsid w:val="32623EAC"/>
    <w:rsid w:val="3301513E"/>
    <w:rsid w:val="3355548A"/>
    <w:rsid w:val="344F4CEC"/>
    <w:rsid w:val="365A4738"/>
    <w:rsid w:val="372413FB"/>
    <w:rsid w:val="38163439"/>
    <w:rsid w:val="389B56ED"/>
    <w:rsid w:val="38D42F08"/>
    <w:rsid w:val="39F82BC4"/>
    <w:rsid w:val="3AC1132A"/>
    <w:rsid w:val="3AC7627C"/>
    <w:rsid w:val="3BC82C9D"/>
    <w:rsid w:val="3E3C74EF"/>
    <w:rsid w:val="3FF55066"/>
    <w:rsid w:val="403E059F"/>
    <w:rsid w:val="40DB6007"/>
    <w:rsid w:val="40DF6392"/>
    <w:rsid w:val="42707BEA"/>
    <w:rsid w:val="42CB4E20"/>
    <w:rsid w:val="42E57F09"/>
    <w:rsid w:val="42EE66C0"/>
    <w:rsid w:val="42F8046B"/>
    <w:rsid w:val="43943464"/>
    <w:rsid w:val="45806396"/>
    <w:rsid w:val="45F60406"/>
    <w:rsid w:val="46010231"/>
    <w:rsid w:val="46C27B72"/>
    <w:rsid w:val="46FE078E"/>
    <w:rsid w:val="471C3E9C"/>
    <w:rsid w:val="476870E2"/>
    <w:rsid w:val="48E74C99"/>
    <w:rsid w:val="48E924A4"/>
    <w:rsid w:val="49374FBE"/>
    <w:rsid w:val="4963478E"/>
    <w:rsid w:val="497F11CB"/>
    <w:rsid w:val="4A2A5FB0"/>
    <w:rsid w:val="4A4021AC"/>
    <w:rsid w:val="4A6F69D9"/>
    <w:rsid w:val="4B763634"/>
    <w:rsid w:val="4C942D32"/>
    <w:rsid w:val="4CCD3468"/>
    <w:rsid w:val="4D0451BD"/>
    <w:rsid w:val="4D6E6136"/>
    <w:rsid w:val="4DE6060A"/>
    <w:rsid w:val="4FA709C3"/>
    <w:rsid w:val="51602A37"/>
    <w:rsid w:val="52D95337"/>
    <w:rsid w:val="54526AAE"/>
    <w:rsid w:val="54776638"/>
    <w:rsid w:val="548836BE"/>
    <w:rsid w:val="55371257"/>
    <w:rsid w:val="55AF412E"/>
    <w:rsid w:val="55EC059D"/>
    <w:rsid w:val="569163D9"/>
    <w:rsid w:val="56A02924"/>
    <w:rsid w:val="57123788"/>
    <w:rsid w:val="571B119A"/>
    <w:rsid w:val="58282F59"/>
    <w:rsid w:val="5893622F"/>
    <w:rsid w:val="596B480F"/>
    <w:rsid w:val="5B744BB6"/>
    <w:rsid w:val="5BB66216"/>
    <w:rsid w:val="5BC87CF7"/>
    <w:rsid w:val="5BD7618C"/>
    <w:rsid w:val="5C2238AB"/>
    <w:rsid w:val="5C3C1109"/>
    <w:rsid w:val="5DC72A3A"/>
    <w:rsid w:val="5E4E6BDA"/>
    <w:rsid w:val="5FC1368F"/>
    <w:rsid w:val="623F6839"/>
    <w:rsid w:val="62A3326C"/>
    <w:rsid w:val="62C456BC"/>
    <w:rsid w:val="630F445E"/>
    <w:rsid w:val="647C1FC7"/>
    <w:rsid w:val="64F46001"/>
    <w:rsid w:val="65D64438"/>
    <w:rsid w:val="664F7993"/>
    <w:rsid w:val="68975621"/>
    <w:rsid w:val="68A4425A"/>
    <w:rsid w:val="6AEC1C54"/>
    <w:rsid w:val="6B7E5E0A"/>
    <w:rsid w:val="6CDE55CC"/>
    <w:rsid w:val="6D5A627D"/>
    <w:rsid w:val="6D7B2E1B"/>
    <w:rsid w:val="6E5318AD"/>
    <w:rsid w:val="6EF300F7"/>
    <w:rsid w:val="70C04FE9"/>
    <w:rsid w:val="712203AF"/>
    <w:rsid w:val="73150949"/>
    <w:rsid w:val="7331276D"/>
    <w:rsid w:val="736C3D40"/>
    <w:rsid w:val="73765FEC"/>
    <w:rsid w:val="73D13E24"/>
    <w:rsid w:val="75693EA1"/>
    <w:rsid w:val="75C37A55"/>
    <w:rsid w:val="76375D4D"/>
    <w:rsid w:val="78EE0999"/>
    <w:rsid w:val="7972098E"/>
    <w:rsid w:val="7A2C3AB0"/>
    <w:rsid w:val="7BD152CC"/>
    <w:rsid w:val="7BF546E1"/>
    <w:rsid w:val="7CAF4890"/>
    <w:rsid w:val="7DA657E4"/>
    <w:rsid w:val="7E015E0F"/>
    <w:rsid w:val="7E0C2C90"/>
    <w:rsid w:val="7E786F03"/>
    <w:rsid w:val="7EF26CB5"/>
    <w:rsid w:val="7FC06DB4"/>
    <w:rsid w:val="7FD95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ind w:firstLine="723" w:firstLineChars="200"/>
      <w:jc w:val="left"/>
      <w:textAlignment w:val="baseline"/>
    </w:pPr>
    <w:rPr>
      <w:rFonts w:ascii="Arial" w:hAnsi="Arial" w:eastAsia="仿宋_GB2312" w:cs="Arial"/>
      <w:snapToGrid w:val="0"/>
      <w:color w:val="000000"/>
      <w:kern w:val="0"/>
      <w:sz w:val="30"/>
      <w:szCs w:val="21"/>
    </w:rPr>
  </w:style>
  <w:style w:type="paragraph" w:styleId="2">
    <w:name w:val="heading 1"/>
    <w:basedOn w:val="1"/>
    <w:next w:val="1"/>
    <w:autoRedefine/>
    <w:qFormat/>
    <w:uiPriority w:val="0"/>
    <w:pPr>
      <w:keepNext/>
      <w:keepLines/>
      <w:spacing w:beforeLines="0" w:beforeAutospacing="0" w:afterLines="0" w:afterAutospacing="0" w:line="360" w:lineRule="auto"/>
      <w:ind w:firstLine="723" w:firstLineChars="200"/>
      <w:outlineLvl w:val="0"/>
    </w:pPr>
    <w:rPr>
      <w:rFonts w:ascii="Arial" w:hAnsi="Arial" w:eastAsia="黑体"/>
      <w:b/>
      <w:kern w:val="44"/>
    </w:rPr>
  </w:style>
  <w:style w:type="paragraph" w:styleId="3">
    <w:name w:val="heading 2"/>
    <w:basedOn w:val="1"/>
    <w:next w:val="1"/>
    <w:unhideWhenUsed/>
    <w:qFormat/>
    <w:uiPriority w:val="0"/>
    <w:pPr>
      <w:keepNext/>
      <w:keepLines/>
      <w:spacing w:beforeLines="0" w:beforeAutospacing="0" w:afterLines="0" w:afterAutospacing="0" w:line="360" w:lineRule="auto"/>
      <w:ind w:firstLine="723" w:firstLineChars="200"/>
      <w:outlineLvl w:val="1"/>
    </w:pPr>
    <w:rPr>
      <w:rFonts w:ascii="Arial" w:hAnsi="Arial"/>
      <w:b/>
    </w:rPr>
  </w:style>
  <w:style w:type="paragraph" w:styleId="4">
    <w:name w:val="heading 3"/>
    <w:basedOn w:val="1"/>
    <w:next w:val="1"/>
    <w:autoRedefine/>
    <w:unhideWhenUsed/>
    <w:qFormat/>
    <w:uiPriority w:val="0"/>
    <w:pPr>
      <w:keepNext/>
      <w:keepLines/>
      <w:spacing w:beforeLines="0" w:beforeAutospacing="0" w:afterLines="0" w:afterAutospacing="0" w:line="360" w:lineRule="auto"/>
      <w:ind w:firstLine="723" w:firstLineChars="200"/>
      <w:outlineLvl w:val="2"/>
    </w:pPr>
    <w:rPr>
      <w:rFonts w:ascii="Arial" w:hAnsi="Arial"/>
    </w:rPr>
  </w:style>
  <w:style w:type="paragraph" w:styleId="5">
    <w:name w:val="heading 4"/>
    <w:basedOn w:val="1"/>
    <w:next w:val="1"/>
    <w:autoRedefine/>
    <w:unhideWhenUsed/>
    <w:qFormat/>
    <w:uiPriority w:val="0"/>
    <w:pPr>
      <w:keepNext/>
      <w:keepLines/>
      <w:spacing w:beforeLines="0" w:beforeAutospacing="0" w:afterLines="0" w:afterAutospacing="0" w:line="360" w:lineRule="auto"/>
      <w:ind w:firstLine="723" w:firstLineChars="200"/>
      <w:outlineLvl w:val="3"/>
    </w:pPr>
    <w:rPr>
      <w:rFonts w:ascii="Arial" w:hAnsi="Arial"/>
    </w:rPr>
  </w:style>
  <w:style w:type="character" w:default="1" w:styleId="13">
    <w:name w:val="Default Paragraph Font"/>
    <w:autoRedefine/>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autoRedefine/>
    <w:qFormat/>
    <w:uiPriority w:val="0"/>
    <w:pPr>
      <w:ind w:left="840" w:leftChars="4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4正文"/>
    <w:basedOn w:val="1"/>
    <w:autoRedefine/>
    <w:qFormat/>
    <w:uiPriority w:val="0"/>
    <w:pPr>
      <w:spacing w:line="360" w:lineRule="auto"/>
      <w:ind w:firstLine="200" w:firstLineChars="200"/>
      <w:jc w:val="left"/>
    </w:pPr>
    <w:rPr>
      <w:rFonts w:ascii="Times New Roman" w:hAnsi="Times New Roman" w:eastAsia="仿宋_GB2312" w:cs="Times New Roman"/>
      <w:sz w:val="24"/>
      <w:szCs w:val="24"/>
    </w:rPr>
  </w:style>
  <w:style w:type="paragraph" w:customStyle="1" w:styleId="16">
    <w:name w:val="WPSOffice手动目录 1"/>
    <w:autoRedefine/>
    <w:qFormat/>
    <w:uiPriority w:val="0"/>
    <w:pPr>
      <w:ind w:leftChars="0"/>
    </w:pPr>
    <w:rPr>
      <w:rFonts w:ascii="Arial" w:hAnsi="Arial" w:eastAsia="Arial" w:cs="Arial"/>
      <w:sz w:val="20"/>
      <w:szCs w:val="20"/>
    </w:rPr>
  </w:style>
  <w:style w:type="paragraph" w:customStyle="1" w:styleId="17">
    <w:name w:val="WPSOffice手动目录 2"/>
    <w:qFormat/>
    <w:uiPriority w:val="0"/>
    <w:pPr>
      <w:ind w:leftChars="200"/>
    </w:pPr>
    <w:rPr>
      <w:rFonts w:ascii="Arial" w:hAnsi="Arial" w:eastAsia="Arial" w:cs="Arial"/>
      <w:sz w:val="20"/>
      <w:szCs w:val="20"/>
    </w:rPr>
  </w:style>
  <w:style w:type="character" w:customStyle="1" w:styleId="18">
    <w:name w:val="font21"/>
    <w:basedOn w:val="13"/>
    <w:qFormat/>
    <w:uiPriority w:val="0"/>
    <w:rPr>
      <w:rFonts w:hint="eastAsia" w:ascii="宋体" w:hAnsi="宋体" w:eastAsia="宋体" w:cs="宋体"/>
      <w:color w:val="000000"/>
      <w:sz w:val="18"/>
      <w:szCs w:val="18"/>
      <w:u w:val="none"/>
    </w:rPr>
  </w:style>
  <w:style w:type="character" w:customStyle="1" w:styleId="19">
    <w:name w:val="font11"/>
    <w:basedOn w:val="13"/>
    <w:qFormat/>
    <w:uiPriority w:val="0"/>
    <w:rPr>
      <w:rFonts w:hint="eastAsia" w:ascii="宋体" w:hAnsi="宋体" w:eastAsia="宋体" w:cs="宋体"/>
      <w:b/>
      <w:bCs/>
      <w:color w:val="000000"/>
      <w:sz w:val="18"/>
      <w:szCs w:val="18"/>
      <w:u w:val="none"/>
    </w:rPr>
  </w:style>
  <w:style w:type="character" w:customStyle="1" w:styleId="20">
    <w:name w:val="font31"/>
    <w:basedOn w:val="13"/>
    <w:autoRedefine/>
    <w:qFormat/>
    <w:uiPriority w:val="0"/>
    <w:rPr>
      <w:rFonts w:hint="eastAsia" w:ascii="宋体" w:hAnsi="宋体" w:eastAsia="宋体" w:cs="宋体"/>
      <w:b/>
      <w:bCs/>
      <w:color w:val="000000"/>
      <w:sz w:val="21"/>
      <w:szCs w:val="21"/>
      <w:u w:val="none"/>
    </w:rPr>
  </w:style>
  <w:style w:type="paragraph" w:customStyle="1" w:styleId="21">
    <w:name w:val="办公会正文"/>
    <w:basedOn w:val="1"/>
    <w:autoRedefine/>
    <w:qFormat/>
    <w:uiPriority w:val="0"/>
    <w:pPr>
      <w:spacing w:line="560" w:lineRule="exact"/>
      <w:ind w:firstLine="200" w:firstLineChars="200"/>
    </w:pPr>
    <w:rPr>
      <w:rFonts w:ascii="仿宋_GB2312" w:eastAsia="仿宋_GB2312"/>
      <w:sz w:val="28"/>
    </w:rPr>
  </w:style>
  <w:style w:type="character" w:customStyle="1" w:styleId="22">
    <w:name w:val="font61"/>
    <w:basedOn w:val="13"/>
    <w:autoRedefine/>
    <w:qFormat/>
    <w:uiPriority w:val="0"/>
    <w:rPr>
      <w:rFonts w:hint="eastAsia" w:ascii="宋体" w:hAnsi="宋体" w:eastAsia="宋体" w:cs="宋体"/>
      <w:b/>
      <w:bCs/>
      <w:color w:val="000000"/>
      <w:sz w:val="20"/>
      <w:szCs w:val="20"/>
      <w:u w:val="none"/>
    </w:rPr>
  </w:style>
  <w:style w:type="character" w:customStyle="1" w:styleId="23">
    <w:name w:val="font41"/>
    <w:basedOn w:val="13"/>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3808</Words>
  <Characters>4222</Characters>
  <TotalTime>29</TotalTime>
  <ScaleCrop>false</ScaleCrop>
  <LinksUpToDate>false</LinksUpToDate>
  <CharactersWithSpaces>4277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2022-06-30T10:14:00Z</dcterms:created>
  <dc:creator>Administrator</dc:creator>
  <cp:lastModifiedBy>WPS_1594364136</cp:lastModifiedBy>
  <cp:lastPrinted>2024-05-20T08:59:00Z</cp:lastPrinted>
  <dcterms:modified xsi:type="dcterms:W3CDTF">2026-06-30T01:00:38Z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2023-05-07T10:05:40Z</vt:filetime>
  </property>
  <property fmtid="{D5CDD505-2E9C-101B-9397-08002B2CF9AE}" pid="4" name="KSOProductBuildVer">
    <vt:lpwstr>2052-12.1.0.26895</vt:lpwstr>
  </property>
  <property fmtid="{D5CDD505-2E9C-101B-9397-08002B2CF9AE}" pid="5" name="ICV">
    <vt:lpwstr>74618342D0AB45148B2B97698C73621E_13</vt:lpwstr>
  </property>
  <property fmtid="{D5CDD505-2E9C-101B-9397-08002B2CF9AE}" pid="6" name="KSOTemplateDocerSaveRecord">
    <vt:lpwstr>eyJoZGlkIjoiZmJkMmNiNzQxMDQ2ZTdiNTUyMTcwMTJlZDQ4NTg2ZWYiLCJ1c2VySWQiOiIxMDMzNjQ3MzA0In0=</vt:lpwstr>
  </property>
</Properties>
</file>