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宽城区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央和省级财政衔接资金分配结果</w:t>
      </w:r>
    </w:p>
    <w:p>
      <w:pPr>
        <w:pStyle w:val="3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393"/>
        <w:gridCol w:w="750"/>
        <w:gridCol w:w="520"/>
        <w:gridCol w:w="353"/>
        <w:gridCol w:w="521"/>
        <w:gridCol w:w="600"/>
        <w:gridCol w:w="776"/>
        <w:gridCol w:w="2409"/>
        <w:gridCol w:w="794"/>
        <w:gridCol w:w="1121"/>
        <w:gridCol w:w="1085"/>
        <w:gridCol w:w="1085"/>
        <w:gridCol w:w="1792"/>
        <w:gridCol w:w="785"/>
        <w:gridCol w:w="609"/>
      </w:tblGrid>
      <w:tr>
        <w:trPr>
          <w:trHeight w:val="458" w:hRule="atLeast"/>
        </w:trPr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项目类型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名称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建设性质</w:t>
            </w: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实施地点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时间进度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责任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建设内容及规模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项目总投资（万元）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其中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受益对象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绩效目标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联农带农机制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计划开工时间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计划完工时间</w:t>
            </w:r>
          </w:p>
        </w:tc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中央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财政衔接资金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 w:bidi="ar"/>
              </w:rPr>
              <w:t>省级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财政衔接资金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  <w:lang w:bidi="ar"/>
              </w:rPr>
              <w:t>（万元）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产业类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兰家镇东道村稻田产业项目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兰家镇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2023年3月1日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2023年12月1日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宽城经济开发区（兰家镇）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建设米业加工厂1个，总占地面积2500平方米，建筑面积500平方米，购买机械设备1套。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126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105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受益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人群为1067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2554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人，其中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脱贫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户12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建设米业加工厂1个，总占地面积2500平方米，建筑面积500平方米，购买机械设备1套。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壮大村集体经济，带动村民增收。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jIzNGQ0NmEyOTBlYmRkZjVkMzg4NDEzMTMzZWEifQ=="/>
  </w:docVars>
  <w:rsids>
    <w:rsidRoot w:val="209D5C66"/>
    <w:rsid w:val="110E163C"/>
    <w:rsid w:val="209D5C66"/>
    <w:rsid w:val="2400493E"/>
    <w:rsid w:val="422D4409"/>
    <w:rsid w:val="55981011"/>
    <w:rsid w:val="6E7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309</Characters>
  <Lines>0</Lines>
  <Paragraphs>0</Paragraphs>
  <TotalTime>0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2022-11-21T01:12:00Z</dcterms:created>
  <dc:creator>清河季子</dc:creator>
  <cp:lastModifiedBy>清河季子</cp:lastModifiedBy>
  <dcterms:modified xsi:type="dcterms:W3CDTF">2023-01-03T02:47:50Z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6A9174BBBB88484C93ED5849CBC72FCE</vt:lpwstr>
  </property>
</Properties>
</file>