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黑体" w:eastAsia="黑体" w:cs="黑体"/>
          <w:color w:val="auto"/>
          <w:sz w:val="32"/>
          <w:szCs w:val="32"/>
        </w:rPr>
      </w:pPr>
      <w:bookmarkStart w:id="0" w:name="_GoBack"/>
      <w:bookmarkEnd w:id="0"/>
      <w:r>
        <w:rPr>
          <w:rFonts w:hint="eastAsia" w:ascii="黑体" w:eastAsia="黑体" w:cs="黑体"/>
          <w:color w:val="auto"/>
          <w:sz w:val="32"/>
          <w:szCs w:val="32"/>
        </w:rPr>
        <w:t>附件</w:t>
      </w:r>
    </w:p>
    <w:p>
      <w:pPr>
        <w:spacing w:line="560" w:lineRule="exact"/>
        <w:jc w:val="center"/>
        <w:rPr>
          <w:rFonts w:hint="eastAsia" w:ascii="方正小标宋简体" w:eastAsia="方正小标宋简体" w:cs="方正小标宋简体"/>
          <w:color w:val="auto"/>
          <w:sz w:val="44"/>
          <w:szCs w:val="44"/>
        </w:rPr>
      </w:pPr>
    </w:p>
    <w:p>
      <w:pPr>
        <w:spacing w:line="560" w:lineRule="exact"/>
        <w:jc w:val="center"/>
        <w:rPr>
          <w:rFonts w:hint="eastAsia" w:ascii="方正小标宋简体" w:eastAsia="方正小标宋简体" w:cs="方正小标宋简体"/>
          <w:color w:val="auto"/>
          <w:sz w:val="44"/>
          <w:szCs w:val="44"/>
        </w:rPr>
      </w:pPr>
      <w:r>
        <w:rPr>
          <w:rFonts w:hint="eastAsia" w:ascii="方正小标宋简体" w:eastAsia="方正小标宋简体" w:cs="方正小标宋简体"/>
          <w:color w:val="auto"/>
          <w:sz w:val="44"/>
          <w:szCs w:val="44"/>
          <w:lang w:val="en-US" w:eastAsia="zh-CN"/>
        </w:rPr>
        <w:t>宽城区</w:t>
      </w:r>
      <w:r>
        <w:rPr>
          <w:rFonts w:hint="eastAsia" w:ascii="方正小标宋简体" w:eastAsia="方正小标宋简体" w:cs="方正小标宋简体"/>
          <w:color w:val="auto"/>
          <w:sz w:val="44"/>
          <w:szCs w:val="44"/>
        </w:rPr>
        <w:t>国家机关普法责任清单</w:t>
      </w:r>
    </w:p>
    <w:p>
      <w:pPr>
        <w:spacing w:line="579" w:lineRule="exact"/>
        <w:ind w:firstLine="120" w:firstLineChars="50"/>
        <w:rPr>
          <w:rFonts w:hint="eastAsia" w:ascii="仿宋_GB2312" w:eastAsia="仿宋_GB2312" w:cs="仿宋_GB2312"/>
          <w:b/>
          <w:color w:val="auto"/>
          <w:sz w:val="24"/>
          <w:szCs w:val="24"/>
        </w:rPr>
      </w:pPr>
      <w:r>
        <w:rPr>
          <w:rFonts w:hint="eastAsia" w:ascii="仿宋_GB2312" w:eastAsia="仿宋_GB2312" w:cs="仿宋_GB2312"/>
          <w:b/>
          <w:color w:val="auto"/>
          <w:sz w:val="24"/>
          <w:szCs w:val="24"/>
        </w:rPr>
        <w:t>部门：</w:t>
      </w:r>
      <w:r>
        <w:rPr>
          <w:rFonts w:hint="eastAsia" w:ascii="仿宋_GB2312" w:eastAsia="仿宋_GB2312" w:cs="仿宋_GB2312"/>
          <w:b/>
          <w:color w:val="auto"/>
          <w:sz w:val="24"/>
          <w:szCs w:val="24"/>
          <w:lang w:val="en-US" w:eastAsia="zh-CN"/>
        </w:rPr>
        <w:t>宽城区农业农村</w:t>
      </w:r>
      <w:r>
        <w:rPr>
          <w:rFonts w:hint="eastAsia" w:ascii="仿宋_GB2312" w:eastAsia="仿宋_GB2312" w:cs="仿宋_GB2312"/>
          <w:b/>
          <w:color w:val="auto"/>
          <w:sz w:val="24"/>
          <w:szCs w:val="24"/>
        </w:rPr>
        <w:t>局</w:t>
      </w:r>
    </w:p>
    <w:tbl>
      <w:tblPr>
        <w:tblStyle w:val="5"/>
        <w:tblW w:w="15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3119"/>
        <w:gridCol w:w="4961"/>
        <w:gridCol w:w="2552"/>
        <w:gridCol w:w="4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562" w:type="dxa"/>
          </w:tcPr>
          <w:p>
            <w:pPr>
              <w:spacing w:line="300" w:lineRule="exact"/>
              <w:ind w:left="9"/>
              <w:rPr>
                <w:rFonts w:hint="eastAsia" w:ascii="宋体" w:eastAsia="宋体" w:cs="宋体"/>
                <w:color w:val="auto"/>
                <w:sz w:val="24"/>
                <w:szCs w:val="24"/>
              </w:rPr>
            </w:pPr>
          </w:p>
        </w:tc>
        <w:tc>
          <w:tcPr>
            <w:tcW w:w="3119" w:type="dxa"/>
            <w:vAlign w:val="center"/>
          </w:tcPr>
          <w:p>
            <w:pPr>
              <w:spacing w:line="300" w:lineRule="exact"/>
              <w:jc w:val="center"/>
              <w:rPr>
                <w:rFonts w:hint="eastAsia" w:ascii="宋体" w:eastAsia="宋体" w:cs="宋体"/>
                <w:b/>
                <w:color w:val="auto"/>
                <w:sz w:val="24"/>
                <w:szCs w:val="24"/>
              </w:rPr>
            </w:pPr>
            <w:r>
              <w:rPr>
                <w:rFonts w:hint="eastAsia" w:ascii="宋体" w:eastAsia="宋体" w:cs="宋体"/>
                <w:b/>
                <w:color w:val="auto"/>
                <w:sz w:val="24"/>
                <w:szCs w:val="24"/>
              </w:rPr>
              <w:t>重点普法任务</w:t>
            </w:r>
          </w:p>
        </w:tc>
        <w:tc>
          <w:tcPr>
            <w:tcW w:w="4961" w:type="dxa"/>
            <w:vAlign w:val="center"/>
          </w:tcPr>
          <w:p>
            <w:pPr>
              <w:spacing w:line="300" w:lineRule="exact"/>
              <w:jc w:val="center"/>
              <w:rPr>
                <w:rFonts w:hint="eastAsia" w:ascii="宋体" w:eastAsia="宋体" w:cs="宋体"/>
                <w:b/>
                <w:color w:val="auto"/>
                <w:sz w:val="24"/>
                <w:szCs w:val="24"/>
              </w:rPr>
            </w:pPr>
            <w:r>
              <w:rPr>
                <w:rFonts w:hint="eastAsia" w:ascii="宋体" w:eastAsia="宋体" w:cs="宋体"/>
                <w:b/>
                <w:color w:val="auto"/>
                <w:sz w:val="24"/>
                <w:szCs w:val="24"/>
              </w:rPr>
              <w:t>重点普法内容</w:t>
            </w:r>
          </w:p>
        </w:tc>
        <w:tc>
          <w:tcPr>
            <w:tcW w:w="2552" w:type="dxa"/>
            <w:vAlign w:val="center"/>
          </w:tcPr>
          <w:p>
            <w:pPr>
              <w:spacing w:line="300" w:lineRule="exact"/>
              <w:jc w:val="center"/>
              <w:rPr>
                <w:rFonts w:hint="eastAsia" w:ascii="宋体" w:eastAsia="宋体" w:cs="宋体"/>
                <w:b/>
                <w:color w:val="auto"/>
                <w:sz w:val="24"/>
                <w:szCs w:val="24"/>
              </w:rPr>
            </w:pPr>
            <w:r>
              <w:rPr>
                <w:rFonts w:hint="eastAsia" w:ascii="宋体" w:eastAsia="宋体" w:cs="宋体"/>
                <w:b/>
                <w:color w:val="auto"/>
                <w:sz w:val="24"/>
                <w:szCs w:val="24"/>
              </w:rPr>
              <w:t>重点普法对象</w:t>
            </w:r>
          </w:p>
        </w:tc>
        <w:tc>
          <w:tcPr>
            <w:tcW w:w="4677" w:type="dxa"/>
            <w:vAlign w:val="center"/>
          </w:tcPr>
          <w:p>
            <w:pPr>
              <w:spacing w:line="300" w:lineRule="exact"/>
              <w:jc w:val="center"/>
              <w:rPr>
                <w:rFonts w:hint="eastAsia" w:ascii="宋体" w:eastAsia="宋体" w:cs="宋体"/>
                <w:b/>
                <w:color w:val="auto"/>
                <w:sz w:val="24"/>
                <w:szCs w:val="24"/>
              </w:rPr>
            </w:pPr>
            <w:r>
              <w:rPr>
                <w:rFonts w:hint="eastAsia" w:ascii="宋体" w:eastAsia="宋体" w:cs="宋体"/>
                <w:b/>
                <w:color w:val="auto"/>
                <w:sz w:val="24"/>
                <w:szCs w:val="24"/>
              </w:rPr>
              <w:t>主要普法形式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0" w:hRule="atLeast"/>
          <w:jc w:val="center"/>
        </w:trPr>
        <w:tc>
          <w:tcPr>
            <w:tcW w:w="562" w:type="dxa"/>
            <w:vMerge w:val="restart"/>
            <w:vAlign w:val="center"/>
          </w:tcPr>
          <w:p>
            <w:pPr>
              <w:spacing w:line="300" w:lineRule="exact"/>
              <w:ind w:left="9"/>
              <w:jc w:val="center"/>
              <w:rPr>
                <w:rFonts w:hint="eastAsia" w:ascii="宋体" w:eastAsia="宋体" w:cs="宋体"/>
                <w:b/>
                <w:color w:val="auto"/>
                <w:sz w:val="24"/>
                <w:szCs w:val="24"/>
              </w:rPr>
            </w:pPr>
            <w:r>
              <w:rPr>
                <w:rFonts w:hint="eastAsia" w:ascii="宋体" w:eastAsia="宋体" w:cs="宋体"/>
                <w:b/>
                <w:color w:val="auto"/>
                <w:sz w:val="24"/>
                <w:szCs w:val="24"/>
              </w:rPr>
              <w:t>共</w:t>
            </w:r>
          </w:p>
          <w:p>
            <w:pPr>
              <w:spacing w:line="300" w:lineRule="exact"/>
              <w:ind w:left="9"/>
              <w:jc w:val="center"/>
              <w:rPr>
                <w:rFonts w:hint="eastAsia" w:ascii="宋体" w:eastAsia="宋体" w:cs="宋体"/>
                <w:b/>
                <w:color w:val="auto"/>
                <w:sz w:val="24"/>
                <w:szCs w:val="24"/>
              </w:rPr>
            </w:pPr>
            <w:r>
              <w:rPr>
                <w:rFonts w:hint="eastAsia" w:ascii="宋体" w:eastAsia="宋体" w:cs="宋体"/>
                <w:b/>
                <w:color w:val="auto"/>
                <w:sz w:val="24"/>
                <w:szCs w:val="24"/>
              </w:rPr>
              <w:t>性</w:t>
            </w:r>
          </w:p>
          <w:p>
            <w:pPr>
              <w:spacing w:line="300" w:lineRule="exact"/>
              <w:ind w:left="9"/>
              <w:jc w:val="center"/>
              <w:rPr>
                <w:rFonts w:hint="eastAsia" w:ascii="宋体" w:eastAsia="宋体" w:cs="宋体"/>
                <w:b/>
                <w:color w:val="auto"/>
                <w:sz w:val="24"/>
                <w:szCs w:val="24"/>
              </w:rPr>
            </w:pPr>
            <w:r>
              <w:rPr>
                <w:rFonts w:hint="eastAsia" w:ascii="宋体" w:eastAsia="宋体" w:cs="宋体"/>
                <w:b/>
                <w:color w:val="auto"/>
                <w:sz w:val="24"/>
                <w:szCs w:val="24"/>
              </w:rPr>
              <w:t>责</w:t>
            </w:r>
          </w:p>
          <w:p>
            <w:pPr>
              <w:spacing w:line="300" w:lineRule="exact"/>
              <w:ind w:left="9"/>
              <w:jc w:val="center"/>
              <w:rPr>
                <w:rFonts w:hint="eastAsia" w:ascii="宋体" w:eastAsia="宋体" w:cs="宋体"/>
                <w:b/>
                <w:color w:val="auto"/>
                <w:sz w:val="24"/>
                <w:szCs w:val="24"/>
              </w:rPr>
            </w:pPr>
            <w:r>
              <w:rPr>
                <w:rFonts w:hint="eastAsia" w:ascii="宋体" w:eastAsia="宋体" w:cs="宋体"/>
                <w:b/>
                <w:color w:val="auto"/>
                <w:sz w:val="24"/>
                <w:szCs w:val="24"/>
              </w:rPr>
              <w:t>任</w:t>
            </w:r>
          </w:p>
        </w:tc>
        <w:tc>
          <w:tcPr>
            <w:tcW w:w="3119" w:type="dxa"/>
            <w:vAlign w:val="center"/>
          </w:tcPr>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深入学习宣传贯彻习近平法治思想；</w:t>
            </w:r>
          </w:p>
        </w:tc>
        <w:tc>
          <w:tcPr>
            <w:tcW w:w="4961" w:type="dxa"/>
            <w:vAlign w:val="center"/>
          </w:tcPr>
          <w:p>
            <w:pPr>
              <w:spacing w:line="300" w:lineRule="exact"/>
              <w:ind w:left="9"/>
              <w:rPr>
                <w:rFonts w:hint="eastAsia" w:ascii="仿宋_GB2312" w:eastAsia="仿宋_GB2312" w:cs="仿宋_GB2312"/>
                <w:color w:val="auto"/>
                <w:sz w:val="24"/>
                <w:szCs w:val="24"/>
              </w:rPr>
            </w:pPr>
            <w:r>
              <w:rPr>
                <w:rFonts w:hint="eastAsia" w:ascii="仿宋_GB2312" w:eastAsia="仿宋_GB2312" w:cs="仿宋_GB2312"/>
                <w:color w:val="auto"/>
                <w:sz w:val="24"/>
                <w:szCs w:val="24"/>
              </w:rPr>
              <w:t>习近平总书记在中央全面依法治国工作会议上精辟概括的“十一个坚持”</w:t>
            </w:r>
          </w:p>
          <w:p>
            <w:pPr>
              <w:spacing w:line="300" w:lineRule="exact"/>
              <w:ind w:left="9"/>
              <w:rPr>
                <w:rFonts w:hint="eastAsia" w:ascii="仿宋_GB2312" w:eastAsia="仿宋_GB2312" w:cs="仿宋_GB2312"/>
                <w:color w:val="auto"/>
                <w:sz w:val="24"/>
                <w:szCs w:val="24"/>
              </w:rPr>
            </w:pPr>
            <w:r>
              <w:rPr>
                <w:rFonts w:hint="eastAsia" w:ascii="仿宋_GB2312" w:eastAsia="仿宋_GB2312" w:cs="仿宋_GB2312"/>
                <w:color w:val="auto"/>
                <w:sz w:val="24"/>
                <w:szCs w:val="24"/>
              </w:rPr>
              <w:t>习近平总书记关于推进全面依法治国的系列重要论述</w:t>
            </w:r>
          </w:p>
        </w:tc>
        <w:tc>
          <w:tcPr>
            <w:tcW w:w="2552" w:type="dxa"/>
            <w:vAlign w:val="center"/>
          </w:tcPr>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广大</w:t>
            </w:r>
            <w:r>
              <w:rPr>
                <w:rFonts w:hint="eastAsia" w:ascii="仿宋_GB2312" w:eastAsia="仿宋_GB2312" w:cs="仿宋_GB2312"/>
                <w:color w:val="auto"/>
                <w:sz w:val="24"/>
                <w:szCs w:val="24"/>
                <w:highlight w:val="none"/>
                <w:lang w:val="en-US" w:eastAsia="zh-CN"/>
              </w:rPr>
              <w:t>居民</w:t>
            </w:r>
            <w:r>
              <w:rPr>
                <w:rFonts w:hint="eastAsia" w:ascii="仿宋_GB2312" w:eastAsia="仿宋_GB2312" w:cs="仿宋_GB2312"/>
                <w:color w:val="auto"/>
                <w:sz w:val="24"/>
                <w:szCs w:val="24"/>
              </w:rPr>
              <w:t>群众</w:t>
            </w:r>
          </w:p>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本单位国家工作人员</w:t>
            </w:r>
          </w:p>
        </w:tc>
        <w:tc>
          <w:tcPr>
            <w:tcW w:w="4677" w:type="dxa"/>
            <w:vAlign w:val="center"/>
          </w:tcPr>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开展习近平法治思想宣讲、专题培训等载体活动；</w:t>
            </w:r>
          </w:p>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组织党委（组）理论学习中心组学习；</w:t>
            </w:r>
          </w:p>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依托党校（行政学院）干部教育培训；</w:t>
            </w:r>
          </w:p>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组织党支部集体学习；</w:t>
            </w:r>
          </w:p>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开展党员活动日实践学习；</w:t>
            </w:r>
          </w:p>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组织党员干部自学等。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562" w:type="dxa"/>
            <w:vMerge w:val="continue"/>
            <w:vAlign w:val="center"/>
          </w:tcPr>
          <w:p/>
        </w:tc>
        <w:tc>
          <w:tcPr>
            <w:tcW w:w="3119" w:type="dxa"/>
            <w:vAlign w:val="center"/>
          </w:tcPr>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在全社会深入持久开展宪法宣传教育活动；</w:t>
            </w:r>
          </w:p>
        </w:tc>
        <w:tc>
          <w:tcPr>
            <w:tcW w:w="4961" w:type="dxa"/>
            <w:vAlign w:val="center"/>
          </w:tcPr>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《中华人民共和国宪法》</w:t>
            </w:r>
          </w:p>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国旗法、国歌法等宪法相关法</w:t>
            </w:r>
          </w:p>
        </w:tc>
        <w:tc>
          <w:tcPr>
            <w:tcW w:w="2552" w:type="dxa"/>
            <w:vAlign w:val="center"/>
          </w:tcPr>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广大</w:t>
            </w:r>
            <w:r>
              <w:rPr>
                <w:rFonts w:hint="eastAsia" w:ascii="仿宋_GB2312" w:eastAsia="仿宋_GB2312" w:cs="仿宋_GB2312"/>
                <w:color w:val="auto"/>
                <w:sz w:val="24"/>
                <w:szCs w:val="24"/>
                <w:lang w:val="en-US" w:eastAsia="zh-CN"/>
              </w:rPr>
              <w:t>居民</w:t>
            </w:r>
            <w:r>
              <w:rPr>
                <w:rFonts w:hint="eastAsia" w:ascii="仿宋_GB2312" w:eastAsia="仿宋_GB2312" w:cs="仿宋_GB2312"/>
                <w:color w:val="auto"/>
                <w:sz w:val="24"/>
                <w:szCs w:val="24"/>
              </w:rPr>
              <w:t>群众</w:t>
            </w:r>
          </w:p>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本单位国家工作人员</w:t>
            </w:r>
          </w:p>
        </w:tc>
        <w:tc>
          <w:tcPr>
            <w:tcW w:w="4677" w:type="dxa"/>
            <w:vAlign w:val="center"/>
          </w:tcPr>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落实宪法宣誓制度；</w:t>
            </w:r>
          </w:p>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开展“12.4”国家宪法日、“宪法宣传周”集中宣传活动；</w:t>
            </w:r>
          </w:p>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推动法治公园等普法宣传教育基地建设。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jc w:val="center"/>
        </w:trPr>
        <w:tc>
          <w:tcPr>
            <w:tcW w:w="562" w:type="dxa"/>
            <w:vMerge w:val="continue"/>
            <w:vAlign w:val="center"/>
          </w:tcPr>
          <w:p/>
        </w:tc>
        <w:tc>
          <w:tcPr>
            <w:tcW w:w="3119" w:type="dxa"/>
            <w:vAlign w:val="center"/>
          </w:tcPr>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广泛开展民法典普法工作；</w:t>
            </w:r>
          </w:p>
        </w:tc>
        <w:tc>
          <w:tcPr>
            <w:tcW w:w="4961" w:type="dxa"/>
            <w:vAlign w:val="center"/>
          </w:tcPr>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《中华人民共和国民法典》</w:t>
            </w:r>
          </w:p>
        </w:tc>
        <w:tc>
          <w:tcPr>
            <w:tcW w:w="2552" w:type="dxa"/>
            <w:vAlign w:val="center"/>
          </w:tcPr>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广大</w:t>
            </w:r>
            <w:r>
              <w:rPr>
                <w:rFonts w:hint="eastAsia" w:ascii="仿宋_GB2312" w:eastAsia="仿宋_GB2312" w:cs="仿宋_GB2312"/>
                <w:color w:val="auto"/>
                <w:sz w:val="24"/>
                <w:szCs w:val="24"/>
                <w:lang w:val="en-US" w:eastAsia="zh-CN"/>
              </w:rPr>
              <w:t>居民</w:t>
            </w:r>
            <w:r>
              <w:rPr>
                <w:rFonts w:hint="eastAsia" w:ascii="仿宋_GB2312" w:eastAsia="仿宋_GB2312" w:cs="仿宋_GB2312"/>
                <w:color w:val="auto"/>
                <w:sz w:val="24"/>
                <w:szCs w:val="24"/>
              </w:rPr>
              <w:t>群众</w:t>
            </w:r>
          </w:p>
        </w:tc>
        <w:tc>
          <w:tcPr>
            <w:tcW w:w="4677" w:type="dxa"/>
            <w:vAlign w:val="center"/>
          </w:tcPr>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开展民法典宣传月主题活动；</w:t>
            </w:r>
          </w:p>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推动法治公园等普法宣传教育基地建设。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5" w:hRule="atLeast"/>
          <w:jc w:val="center"/>
        </w:trPr>
        <w:tc>
          <w:tcPr>
            <w:tcW w:w="562" w:type="dxa"/>
            <w:vMerge w:val="continue"/>
            <w:vAlign w:val="center"/>
          </w:tcPr>
          <w:p/>
        </w:tc>
        <w:tc>
          <w:tcPr>
            <w:tcW w:w="3119" w:type="dxa"/>
            <w:vAlign w:val="center"/>
          </w:tcPr>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深入学习宣传党内法规。</w:t>
            </w:r>
          </w:p>
        </w:tc>
        <w:tc>
          <w:tcPr>
            <w:tcW w:w="4961" w:type="dxa"/>
            <w:vAlign w:val="center"/>
          </w:tcPr>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习近平总书记关于全面从严治党的重要论述</w:t>
            </w:r>
          </w:p>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《中国共产党党章》</w:t>
            </w:r>
          </w:p>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《关于新形势下下党内政治生活的若干准则》</w:t>
            </w:r>
          </w:p>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《中国共产党廉洁自律准则》</w:t>
            </w:r>
          </w:p>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《中国共产党纪律处分条例》</w:t>
            </w:r>
          </w:p>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《中国共产党问责条例》</w:t>
            </w:r>
          </w:p>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《中国共产党党内监督条例》</w:t>
            </w:r>
          </w:p>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《中国共产党巡视工作条例》</w:t>
            </w:r>
          </w:p>
        </w:tc>
        <w:tc>
          <w:tcPr>
            <w:tcW w:w="2552" w:type="dxa"/>
            <w:vAlign w:val="center"/>
          </w:tcPr>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本单位党员干部</w:t>
            </w:r>
          </w:p>
        </w:tc>
        <w:tc>
          <w:tcPr>
            <w:tcW w:w="4677" w:type="dxa"/>
            <w:vAlign w:val="center"/>
          </w:tcPr>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党委（组）理论学习中心组学习；</w:t>
            </w:r>
          </w:p>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党校（行政学院）干部教育培训</w:t>
            </w:r>
          </w:p>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党支部集体学习；</w:t>
            </w:r>
          </w:p>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党支部自学；</w:t>
            </w:r>
          </w:p>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利用传统媒体和新媒体普法；</w:t>
            </w:r>
          </w:p>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组织普法教育培训活动；</w:t>
            </w:r>
          </w:p>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结合日常党建工作进行普法；</w:t>
            </w:r>
          </w:p>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开展节日普法活动。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1" w:hRule="atLeast"/>
          <w:jc w:val="center"/>
        </w:trPr>
        <w:tc>
          <w:tcPr>
            <w:tcW w:w="562" w:type="dxa"/>
            <w:vMerge w:val="restart"/>
            <w:vAlign w:val="center"/>
          </w:tcPr>
          <w:p>
            <w:pPr>
              <w:spacing w:line="300" w:lineRule="exact"/>
              <w:ind w:left="9"/>
              <w:jc w:val="center"/>
              <w:rPr>
                <w:rFonts w:hint="eastAsia" w:ascii="宋体" w:eastAsia="宋体" w:cs="宋体"/>
                <w:b/>
                <w:color w:val="auto"/>
                <w:sz w:val="24"/>
                <w:szCs w:val="24"/>
              </w:rPr>
            </w:pPr>
            <w:r>
              <w:rPr>
                <w:rFonts w:hint="eastAsia" w:ascii="宋体" w:eastAsia="宋体" w:cs="宋体"/>
                <w:b/>
                <w:color w:val="auto"/>
                <w:sz w:val="24"/>
                <w:szCs w:val="24"/>
              </w:rPr>
              <w:t>个</w:t>
            </w:r>
          </w:p>
          <w:p>
            <w:pPr>
              <w:spacing w:line="300" w:lineRule="exact"/>
              <w:ind w:left="9"/>
              <w:jc w:val="center"/>
              <w:rPr>
                <w:rFonts w:hint="eastAsia" w:ascii="宋体" w:eastAsia="宋体" w:cs="宋体"/>
                <w:b/>
                <w:color w:val="auto"/>
                <w:sz w:val="24"/>
                <w:szCs w:val="24"/>
              </w:rPr>
            </w:pPr>
            <w:r>
              <w:rPr>
                <w:rFonts w:hint="eastAsia" w:ascii="宋体" w:eastAsia="宋体" w:cs="宋体"/>
                <w:b/>
                <w:color w:val="auto"/>
                <w:sz w:val="24"/>
                <w:szCs w:val="24"/>
              </w:rPr>
              <w:t>性</w:t>
            </w:r>
          </w:p>
          <w:p>
            <w:pPr>
              <w:spacing w:line="300" w:lineRule="exact"/>
              <w:ind w:left="9"/>
              <w:jc w:val="center"/>
              <w:rPr>
                <w:rFonts w:hint="eastAsia" w:ascii="宋体" w:eastAsia="宋体" w:cs="宋体"/>
                <w:b/>
                <w:color w:val="auto"/>
                <w:sz w:val="24"/>
                <w:szCs w:val="24"/>
              </w:rPr>
            </w:pPr>
            <w:r>
              <w:rPr>
                <w:rFonts w:hint="eastAsia" w:ascii="宋体" w:eastAsia="宋体" w:cs="宋体"/>
                <w:b/>
                <w:color w:val="auto"/>
                <w:sz w:val="24"/>
                <w:szCs w:val="24"/>
              </w:rPr>
              <w:t>责</w:t>
            </w:r>
          </w:p>
          <w:p>
            <w:pPr>
              <w:spacing w:line="300" w:lineRule="exact"/>
              <w:ind w:left="9"/>
              <w:jc w:val="center"/>
              <w:rPr>
                <w:rFonts w:hint="eastAsia" w:ascii="宋体" w:eastAsia="宋体" w:cs="宋体"/>
                <w:b/>
                <w:color w:val="auto"/>
                <w:sz w:val="24"/>
                <w:szCs w:val="24"/>
              </w:rPr>
            </w:pPr>
            <w:r>
              <w:rPr>
                <w:rFonts w:hint="eastAsia" w:ascii="宋体" w:eastAsia="宋体" w:cs="宋体"/>
                <w:b/>
                <w:color w:val="auto"/>
                <w:sz w:val="24"/>
                <w:szCs w:val="24"/>
              </w:rPr>
              <w:t>任</w:t>
            </w:r>
          </w:p>
        </w:tc>
        <w:tc>
          <w:tcPr>
            <w:tcW w:w="3119" w:type="dxa"/>
            <w:vAlign w:val="center"/>
          </w:tcPr>
          <w:p>
            <w:pPr>
              <w:spacing w:line="300" w:lineRule="exact"/>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推进本部门（系统）国家工作人员学法用法；</w:t>
            </w:r>
          </w:p>
        </w:tc>
        <w:tc>
          <w:tcPr>
            <w:tcW w:w="4961" w:type="dxa"/>
            <w:vAlign w:val="center"/>
          </w:tcPr>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《中华人民共和国农业法》</w:t>
            </w:r>
          </w:p>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《中华人民共和国畜牧法》</w:t>
            </w:r>
          </w:p>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《中华人民共和国种子法》</w:t>
            </w:r>
          </w:p>
          <w:p>
            <w:pPr>
              <w:spacing w:line="300" w:lineRule="exact"/>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《中华人民共和国</w:t>
            </w:r>
            <w:r>
              <w:rPr>
                <w:rFonts w:hint="eastAsia" w:ascii="仿宋_GB2312" w:eastAsia="仿宋_GB2312" w:cs="仿宋_GB2312"/>
                <w:color w:val="auto"/>
                <w:sz w:val="24"/>
                <w:szCs w:val="24"/>
                <w:lang w:eastAsia="zh-CN"/>
              </w:rPr>
              <w:t>水</w:t>
            </w:r>
            <w:r>
              <w:rPr>
                <w:rFonts w:hint="eastAsia" w:ascii="仿宋_GB2312" w:eastAsia="仿宋_GB2312" w:cs="仿宋_GB2312"/>
                <w:color w:val="auto"/>
                <w:sz w:val="24"/>
                <w:szCs w:val="24"/>
              </w:rPr>
              <w:t>法》</w:t>
            </w:r>
          </w:p>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000000"/>
                <w:sz w:val="24"/>
                <w:szCs w:val="24"/>
                <w:lang w:eastAsia="zh-CN"/>
              </w:rPr>
              <w:t>《信访工作条例》</w:t>
            </w:r>
          </w:p>
          <w:p>
            <w:pPr>
              <w:spacing w:line="300" w:lineRule="exact"/>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其他法律法规和规章</w:t>
            </w:r>
          </w:p>
        </w:tc>
        <w:tc>
          <w:tcPr>
            <w:tcW w:w="2552" w:type="dxa"/>
            <w:vAlign w:val="center"/>
          </w:tcPr>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本单位工作人员</w:t>
            </w:r>
          </w:p>
        </w:tc>
        <w:tc>
          <w:tcPr>
            <w:tcW w:w="4677" w:type="dxa"/>
            <w:vAlign w:val="center"/>
          </w:tcPr>
          <w:p>
            <w:pPr>
              <w:spacing w:line="300" w:lineRule="exact"/>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组织开展相关法律法规专题培训；</w:t>
            </w:r>
          </w:p>
          <w:p>
            <w:pPr>
              <w:spacing w:line="300" w:lineRule="exact"/>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党工委理论学习中心组学习；</w:t>
            </w:r>
          </w:p>
          <w:p>
            <w:pPr>
              <w:spacing w:line="300" w:lineRule="exact"/>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党支部集体学习；</w:t>
            </w:r>
          </w:p>
          <w:p>
            <w:pPr>
              <w:spacing w:line="300" w:lineRule="exact"/>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党员干部自学等。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1" w:hRule="atLeast"/>
          <w:jc w:val="center"/>
        </w:trPr>
        <w:tc>
          <w:tcPr>
            <w:tcW w:w="562" w:type="dxa"/>
            <w:vMerge w:val="continue"/>
            <w:vAlign w:val="center"/>
          </w:tcPr>
          <w:p/>
        </w:tc>
        <w:tc>
          <w:tcPr>
            <w:tcW w:w="3119" w:type="dxa"/>
            <w:vAlign w:val="center"/>
          </w:tcPr>
          <w:p>
            <w:pPr>
              <w:spacing w:line="300" w:lineRule="exact"/>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向社会公众深入宣传与推动高质量发展及社会治理现代化密切相关的法律法规。</w:t>
            </w:r>
          </w:p>
        </w:tc>
        <w:tc>
          <w:tcPr>
            <w:tcW w:w="4961" w:type="dxa"/>
            <w:vAlign w:val="center"/>
          </w:tcPr>
          <w:p>
            <w:pPr>
              <w:spacing w:line="300" w:lineRule="exact"/>
              <w:ind w:left="9"/>
              <w:jc w:val="left"/>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《中华人民共和国国家安全法》</w:t>
            </w:r>
          </w:p>
          <w:p>
            <w:pPr>
              <w:spacing w:line="300" w:lineRule="exact"/>
              <w:ind w:left="9"/>
              <w:jc w:val="left"/>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《中华人民共和国保守国家秘密法》</w:t>
            </w:r>
          </w:p>
          <w:p>
            <w:pPr>
              <w:spacing w:line="300" w:lineRule="exact"/>
              <w:ind w:left="9"/>
              <w:jc w:val="left"/>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《中华人民共和国安全生产法》</w:t>
            </w:r>
          </w:p>
          <w:p>
            <w:pPr>
              <w:spacing w:line="300" w:lineRule="exact"/>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其他法律法规和规章</w:t>
            </w:r>
          </w:p>
        </w:tc>
        <w:tc>
          <w:tcPr>
            <w:tcW w:w="2552" w:type="dxa"/>
            <w:vAlign w:val="center"/>
          </w:tcPr>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广大</w:t>
            </w:r>
            <w:r>
              <w:rPr>
                <w:rFonts w:hint="eastAsia" w:ascii="仿宋_GB2312" w:eastAsia="仿宋_GB2312" w:cs="仿宋_GB2312"/>
                <w:color w:val="auto"/>
                <w:sz w:val="24"/>
                <w:szCs w:val="24"/>
                <w:lang w:val="en-US" w:eastAsia="zh-CN"/>
              </w:rPr>
              <w:t>居民</w:t>
            </w:r>
            <w:r>
              <w:rPr>
                <w:rFonts w:hint="eastAsia" w:ascii="仿宋_GB2312" w:eastAsia="仿宋_GB2312" w:cs="仿宋_GB2312"/>
                <w:color w:val="auto"/>
                <w:sz w:val="24"/>
                <w:szCs w:val="24"/>
              </w:rPr>
              <w:t>群众</w:t>
            </w:r>
          </w:p>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行业从业人员</w:t>
            </w:r>
          </w:p>
          <w:p>
            <w:pPr>
              <w:spacing w:line="300" w:lineRule="exact"/>
              <w:ind w:left="9"/>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管理服务对象</w:t>
            </w:r>
          </w:p>
          <w:p>
            <w:pPr>
              <w:spacing w:line="300" w:lineRule="exact"/>
              <w:ind w:left="9"/>
              <w:jc w:val="left"/>
              <w:rPr>
                <w:rFonts w:hint="eastAsia" w:ascii="仿宋_GB2312" w:eastAsia="仿宋_GB2312" w:cs="仿宋_GB2312"/>
                <w:color w:val="auto"/>
                <w:sz w:val="24"/>
                <w:szCs w:val="24"/>
              </w:rPr>
            </w:pPr>
          </w:p>
        </w:tc>
        <w:tc>
          <w:tcPr>
            <w:tcW w:w="4677" w:type="dxa"/>
            <w:vAlign w:val="center"/>
          </w:tcPr>
          <w:p>
            <w:pPr>
              <w:spacing w:line="300" w:lineRule="exact"/>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组织开展相关法律法规专题培训；</w:t>
            </w:r>
          </w:p>
          <w:p>
            <w:pPr>
              <w:spacing w:line="300" w:lineRule="exact"/>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利用传统媒体和新媒体普法；</w:t>
            </w:r>
          </w:p>
          <w:p>
            <w:pPr>
              <w:spacing w:line="300" w:lineRule="exact"/>
              <w:jc w:val="left"/>
              <w:rPr>
                <w:rFonts w:hint="eastAsia" w:ascii="仿宋_GB2312" w:eastAsia="仿宋_GB2312" w:cs="仿宋_GB2312"/>
                <w:color w:val="auto"/>
                <w:sz w:val="24"/>
                <w:szCs w:val="24"/>
              </w:rPr>
            </w:pPr>
            <w:r>
              <w:rPr>
                <w:rFonts w:hint="eastAsia" w:ascii="仿宋_GB2312" w:eastAsia="仿宋_GB2312" w:cs="仿宋_GB2312"/>
                <w:color w:val="auto"/>
                <w:sz w:val="24"/>
                <w:szCs w:val="24"/>
              </w:rPr>
              <w:t>结合</w:t>
            </w:r>
            <w:r>
              <w:rPr>
                <w:rFonts w:hint="eastAsia" w:ascii="仿宋_GB2312" w:eastAsia="仿宋_GB2312" w:cs="仿宋_GB2312"/>
                <w:color w:val="auto"/>
                <w:sz w:val="24"/>
                <w:szCs w:val="24"/>
                <w:lang w:eastAsia="zh-CN"/>
              </w:rPr>
              <w:t>具体</w:t>
            </w:r>
            <w:r>
              <w:rPr>
                <w:rFonts w:hint="eastAsia" w:ascii="仿宋_GB2312" w:eastAsia="仿宋_GB2312" w:cs="仿宋_GB2312"/>
                <w:color w:val="auto"/>
                <w:sz w:val="24"/>
                <w:szCs w:val="24"/>
              </w:rPr>
              <w:t>业务工作开展</w:t>
            </w:r>
            <w:r>
              <w:rPr>
                <w:rFonts w:hint="eastAsia" w:ascii="仿宋_GB2312" w:eastAsia="仿宋_GB2312" w:cs="仿宋_GB2312"/>
                <w:color w:val="auto"/>
                <w:sz w:val="24"/>
                <w:szCs w:val="24"/>
                <w:lang w:eastAsia="zh-CN"/>
              </w:rPr>
              <w:t>普法宣传</w:t>
            </w:r>
            <w:r>
              <w:rPr>
                <w:rFonts w:hint="eastAsia" w:ascii="仿宋_GB2312" w:eastAsia="仿宋_GB2312" w:cs="仿宋_GB2312"/>
                <w:color w:val="auto"/>
                <w:sz w:val="24"/>
                <w:szCs w:val="24"/>
              </w:rPr>
              <w:t>。</w:t>
            </w:r>
          </w:p>
        </w:tc>
      </w:tr>
    </w:tbl>
    <w:p>
      <w:pPr>
        <w:spacing w:line="579" w:lineRule="exact"/>
        <w:rPr>
          <w:rFonts w:ascii="仿宋" w:eastAsia="仿宋"/>
          <w:color w:val="auto"/>
          <w:sz w:val="32"/>
          <w:szCs w:val="32"/>
        </w:rPr>
      </w:pPr>
    </w:p>
    <w:sectPr>
      <w:footerReference r:id="rId3" w:type="default"/>
      <w:pgSz w:w="16838" w:h="11906" w:orient="landscape"/>
      <w:pgMar w:top="567" w:right="567" w:bottom="567" w:left="567" w:header="851" w:footer="992" w:gutter="0"/>
      <w:pgNumType w:fmt="numberInDash"/>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0AFF" w:usb1="00007843" w:usb2="00000001" w:usb3="00000000" w:csb0="400001BF" w:csb1="DFF7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rFonts w:ascii="等线" w:eastAsia="等线" w:cs="黑体"/>
        <w:kern w:val="2"/>
        <w:sz w:val="18"/>
        <w:szCs w:val="18"/>
        <w:lang w:val="en-US" w:eastAsia="zh-CN" w:bidi="ar-SA"/>
      </w:rPr>
      <mc:AlternateContent>
        <mc:Choice Requires="wps">
          <w:drawing>
            <wp:anchor distT="0" distB="0" distL="113665" distR="113665" simplePos="0" relativeHeight="251659264" behindDoc="0" locked="0" layoutInCell="1" allowOverlap="1">
              <wp:simplePos x="0" y="0"/>
              <wp:positionH relativeFrom="margin">
                <wp:align>outside</wp:align>
              </wp:positionH>
              <wp:positionV relativeFrom="paragraph">
                <wp:posOffset>0</wp:posOffset>
              </wp:positionV>
              <wp:extent cx="285750" cy="147955"/>
              <wp:effectExtent l="0" t="0" r="0" b="0"/>
              <wp:wrapNone/>
              <wp:docPr id="1" name="矩形"/>
              <wp:cNvGraphicFramePr/>
              <a:graphic xmlns:a="http://schemas.openxmlformats.org/drawingml/2006/main">
                <a:graphicData uri="http://schemas.microsoft.com/office/word/2010/wordprocessingShape">
                  <wps:wsp>
                    <wps:cNvSpPr/>
                    <wps:spPr>
                      <a:xfrm>
                        <a:off x="0" y="0"/>
                        <a:ext cx="285749" cy="148018"/>
                      </a:xfrm>
                      <a:prstGeom prst="rect">
                        <a:avLst/>
                      </a:prstGeom>
                      <a:noFill/>
                      <a:ln w="9525" cap="flat" cmpd="sng">
                        <a:noFill/>
                        <a:prstDash val="solid"/>
                        <a:miter/>
                      </a:ln>
                    </wps:spPr>
                    <wps:txbx>
                      <w:txbxContent>
                        <w:p>
                          <w:pPr>
                            <w:pStyle w:val="3"/>
                            <w:rPr>
                              <w:rFonts w:hint="eastAsia" w:ascii="宋体" w:eastAsia="宋体" w:cs="宋体"/>
                              <w:sz w:val="28"/>
                              <w:szCs w:val="28"/>
                            </w:rPr>
                          </w:pPr>
                          <w:r>
                            <w:rPr>
                              <w:rFonts w:hint="eastAsia" w:ascii="宋体" w:eastAsia="宋体" w:cs="宋体"/>
                              <w:sz w:val="28"/>
                              <w:szCs w:val="28"/>
                            </w:rPr>
                            <w:fldChar w:fldCharType="begin"/>
                          </w:r>
                          <w:r>
                            <w:rPr>
                              <w:rFonts w:hint="eastAsia" w:ascii="宋体" w:eastAsia="宋体" w:cs="宋体"/>
                              <w:sz w:val="28"/>
                              <w:szCs w:val="28"/>
                            </w:rPr>
                            <w:instrText xml:space="preserve"> PAGE  \* MERGEFORMAT </w:instrText>
                          </w:r>
                          <w:r>
                            <w:rPr>
                              <w:rFonts w:hint="eastAsia" w:ascii="宋体" w:eastAsia="宋体" w:cs="宋体"/>
                              <w:sz w:val="28"/>
                              <w:szCs w:val="28"/>
                            </w:rPr>
                            <w:fldChar w:fldCharType="separate"/>
                          </w:r>
                          <w:r>
                            <w:t>- 1 -</w:t>
                          </w:r>
                          <w:r>
                            <w:rPr>
                              <w:rFonts w:hint="eastAsia" w:ascii="宋体" w:eastAsia="宋体" w:cs="宋体"/>
                              <w:sz w:val="28"/>
                              <w:szCs w:val="28"/>
                            </w:rPr>
                            <w:fldChar w:fldCharType="end"/>
                          </w:r>
                        </w:p>
                      </w:txbxContent>
                    </wps:txbx>
                    <wps:bodyPr vert="horz" wrap="none" lIns="0" tIns="0" rIns="0" bIns="0" anchor="t" anchorCtr="0" upright="1">
                      <a:spAutoFit/>
                    </wps:bodyPr>
                  </wps:wsp>
                </a:graphicData>
              </a:graphic>
            </wp:anchor>
          </w:drawing>
        </mc:Choice>
        <mc:Fallback>
          <w:pict>
            <v:rect id="矩形" o:spid="_x0000_s1026" o:spt="1" style="position:absolute;left:0pt;margin-top:0pt;height:11.65pt;width:22.5pt;mso-position-horizontal:outside;mso-position-horizontal-relative:margin;mso-wrap-style:none;z-index:251659264;mso-width-relative:page;mso-height-relative:page;" filled="f" stroked="f" coordsize="21600,21600" o:gfxdata="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Kb471NEAAAADAQAADwAAAAAAAAABACAAAAAiAAAAZHJzL2Rvd25yZXYueG1s&#10;UEsBAhQAFAAAAAgAh07iQIrtN///AQAA7wMAAA4AAAAAAAAAAQAgAAAAIAEAAGRycy9lMm9Eb2Mu&#10;eG1sUEsFBgAAAAAGAAYAWQEAAJEFAAAAAA==&#10;">
              <v:fill on="f" focussize="0,0"/>
              <v:stroke on="f" joinstyle="miter"/>
              <v:imagedata o:title=""/>
              <o:lock v:ext="edit" aspectratio="f"/>
              <v:textbox inset="0mm,0mm,0mm,0mm" style="mso-fit-shape-to-text:t;">
                <w:txbxContent>
                  <w:p>
                    <w:pPr>
                      <w:pStyle w:val="3"/>
                      <w:rPr>
                        <w:rFonts w:hint="eastAsia" w:ascii="宋体" w:eastAsia="宋体" w:cs="宋体"/>
                        <w:sz w:val="28"/>
                        <w:szCs w:val="28"/>
                      </w:rPr>
                    </w:pPr>
                    <w:r>
                      <w:rPr>
                        <w:rFonts w:hint="eastAsia" w:ascii="宋体" w:eastAsia="宋体" w:cs="宋体"/>
                        <w:sz w:val="28"/>
                        <w:szCs w:val="28"/>
                      </w:rPr>
                      <w:fldChar w:fldCharType="begin"/>
                    </w:r>
                    <w:r>
                      <w:rPr>
                        <w:rFonts w:hint="eastAsia" w:ascii="宋体" w:eastAsia="宋体" w:cs="宋体"/>
                        <w:sz w:val="28"/>
                        <w:szCs w:val="28"/>
                      </w:rPr>
                      <w:instrText xml:space="preserve"> PAGE  \* MERGEFORMAT </w:instrText>
                    </w:r>
                    <w:r>
                      <w:rPr>
                        <w:rFonts w:hint="eastAsia" w:ascii="宋体" w:eastAsia="宋体" w:cs="宋体"/>
                        <w:sz w:val="28"/>
                        <w:szCs w:val="28"/>
                      </w:rPr>
                      <w:fldChar w:fldCharType="separate"/>
                    </w:r>
                    <w:r>
                      <w:t>- 1 -</w:t>
                    </w:r>
                    <w:r>
                      <w:rPr>
                        <w:rFonts w:hint="eastAsia" w:ascii="宋体" w:eastAsia="宋体" w:cs="宋体"/>
                        <w:sz w:val="28"/>
                        <w:szCs w:val="28"/>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growAutofit/>
    <w:useFELayout/>
    <w:doNotUseIndentAsNumberingTabStop/>
    <w:splitPgBreakAndParaMark/>
    <w:compatSetting w:name="compatibilityMode" w:uri="http://schemas.microsoft.com/office/word" w:val="14"/>
  </w:compat>
  <w:docVars>
    <w:docVar w:name="commondata" w:val="eyJoZGlkIjoiMmE1Njc3Y2RkYzIwMmRmYjg4ZjhhNjhlYzM2ZjBlYzYifQ=="/>
  </w:docVars>
  <w:rsids>
    <w:rsidRoot w:val="00000000"/>
    <w:rsid w:val="001369AC"/>
    <w:rsid w:val="13275E65"/>
    <w:rsid w:val="50E33E4A"/>
    <w:rsid w:val="791D2A9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等线" w:hAnsi="Times New Roman" w:eastAsia="等线" w:cs="黑体"/>
      <w:kern w:val="2"/>
      <w:sz w:val="21"/>
      <w:szCs w:val="22"/>
      <w:lang w:val="en-US" w:eastAsia="zh-CN" w:bidi="ar-SA"/>
    </w:rPr>
  </w:style>
  <w:style w:type="character" w:default="1" w:styleId="6">
    <w:name w:val="Default Paragraph Font"/>
    <w:autoRedefine/>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alloon Text"/>
    <w:basedOn w:val="1"/>
    <w:autoRedefine/>
    <w:qFormat/>
    <w:uiPriority w:val="0"/>
    <w:rPr>
      <w:sz w:val="18"/>
      <w:szCs w:val="18"/>
    </w:rPr>
  </w:style>
  <w:style w:type="paragraph" w:styleId="3">
    <w:name w:val="footer"/>
    <w:basedOn w:val="1"/>
    <w:autoRedefine/>
    <w:qFormat/>
    <w:uiPriority w:val="0"/>
    <w:pPr>
      <w:tabs>
        <w:tab w:val="center" w:pos="4153"/>
        <w:tab w:val="right" w:pos="8306"/>
      </w:tabs>
      <w:snapToGrid w:val="0"/>
      <w:jc w:val="left"/>
    </w:pPr>
    <w:rPr>
      <w:sz w:val="18"/>
      <w:szCs w:val="18"/>
    </w:rPr>
  </w:style>
  <w:style w:type="paragraph" w:styleId="4">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autoRedefine/>
    <w:qFormat/>
    <w:uiPriority w:val="0"/>
    <w:rPr>
      <w:b/>
    </w:rPr>
  </w:style>
  <w:style w:type="character" w:styleId="8">
    <w:name w:val="Emphasis"/>
    <w:basedOn w:val="6"/>
    <w:qFormat/>
    <w:uiPriority w:val="0"/>
    <w:rPr>
      <w:i/>
    </w:rPr>
  </w:style>
  <w:style w:type="character" w:styleId="9">
    <w:name w:val="Hyperlink"/>
    <w:basedOn w:val="6"/>
    <w:autoRedefine/>
    <w:qFormat/>
    <w:uiPriority w:val="0"/>
    <w:rPr>
      <w:color w:val="0563C1"/>
      <w:u w:val="single"/>
    </w:rPr>
  </w:style>
  <w:style w:type="paragraph" w:customStyle="1" w:styleId="10">
    <w:name w:val="List Paragraph"/>
    <w:basedOn w:val="1"/>
    <w:autoRedefine/>
    <w:qFormat/>
    <w:uiPriority w:val="0"/>
    <w:pPr>
      <w:ind w:firstLine="20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Microsoft</Company>
  <Pages>2</Pages>
  <Words>1696</Words>
  <Characters>1759</Characters>
  <Lines>146</Lines>
  <Paragraphs>111</Paragraphs>
  <TotalTime>2</TotalTime>
  <ScaleCrop>false</ScaleCrop>
  <LinksUpToDate>false</LinksUpToDate>
  <CharactersWithSpaces>1764</CharactersWithSpaces>
  <Application>WPS Office_12.1.0.16729_F1E327BC-269C-435d-A152-05C5408002CA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2022-07-02T13:29:00Z</dcterms:created>
  <dc:creator>PC</dc:creator>
  <cp:lastModifiedBy>lenovo</cp:lastModifiedBy>
  <cp:lastPrinted>2024-05-06T06:41:00Z</cp:lastPrinted>
  <dcterms:modified xsi:type="dcterms:W3CDTF">2024-05-23T01:06:35Z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E47DF07057504B20B9870939C22546EC_13</vt:lpwstr>
  </property>
</Properties>
</file>